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913B5" w14:textId="23230EAD" w:rsidR="00DA7BDF" w:rsidRPr="00B11533" w:rsidRDefault="00DA7BDF" w:rsidP="00B11533">
      <w:pPr>
        <w:pStyle w:val="Heading1"/>
        <w:rPr>
          <w:rFonts w:eastAsia="Aptos"/>
          <w:sz w:val="36"/>
          <w:szCs w:val="36"/>
        </w:rPr>
      </w:pPr>
      <w:r w:rsidRPr="00B11533">
        <w:rPr>
          <w:rFonts w:eastAsia="Aptos"/>
          <w:sz w:val="36"/>
          <w:szCs w:val="36"/>
        </w:rPr>
        <w:t>ADL’s comment on the Fifth Periodic Report under the International Covenant</w:t>
      </w:r>
      <w:r w:rsidR="0076523A" w:rsidRPr="00B11533">
        <w:rPr>
          <w:rFonts w:eastAsia="Aptos"/>
          <w:sz w:val="36"/>
          <w:szCs w:val="36"/>
        </w:rPr>
        <w:t xml:space="preserve"> </w:t>
      </w:r>
      <w:r w:rsidRPr="00B11533">
        <w:rPr>
          <w:rFonts w:eastAsia="Aptos"/>
          <w:sz w:val="36"/>
          <w:szCs w:val="36"/>
        </w:rPr>
        <w:t>for Economic, Social and Cultural Rights</w:t>
      </w:r>
    </w:p>
    <w:p w14:paraId="5983B681" w14:textId="77777777" w:rsidR="00DA7BDF" w:rsidRPr="0076523A" w:rsidRDefault="00DA7BDF" w:rsidP="0076523A">
      <w:pPr>
        <w:spacing w:before="360" w:after="160" w:line="278" w:lineRule="auto"/>
        <w:rPr>
          <w:rFonts w:eastAsia="Aptos" w:cstheme="minorHAnsi"/>
          <w:kern w:val="2"/>
          <w14:ligatures w14:val="standardContextual"/>
        </w:rPr>
      </w:pPr>
      <w:r w:rsidRPr="0076523A">
        <w:rPr>
          <w:rFonts w:eastAsia="Aptos" w:cstheme="minorHAnsi"/>
          <w:kern w:val="2"/>
          <w14:ligatures w14:val="standardContextual"/>
        </w:rPr>
        <w:t xml:space="preserve">The report does not sufficiently summarise </w:t>
      </w:r>
      <w:proofErr w:type="gramStart"/>
      <w:r w:rsidRPr="0076523A">
        <w:rPr>
          <w:rFonts w:eastAsia="Aptos" w:cstheme="minorHAnsi"/>
          <w:kern w:val="2"/>
          <w14:ligatures w14:val="standardContextual"/>
        </w:rPr>
        <w:t>all of</w:t>
      </w:r>
      <w:proofErr w:type="gramEnd"/>
      <w:r w:rsidRPr="0076523A">
        <w:rPr>
          <w:rFonts w:eastAsia="Aptos" w:cstheme="minorHAnsi"/>
          <w:kern w:val="2"/>
          <w14:ligatures w14:val="standardContextual"/>
        </w:rPr>
        <w:t xml:space="preserve"> the important issues relevant to economic, social and cultural rights in New Zealand. Whilst the government has committed itself to improving outcomes for many via such initiatives as the Plan Against Forced Labour, the Migrant Settlement and Integration Strategy and the Worker Protection Act, there are no specific initiatives to address these issues for Deaf and disabled people. </w:t>
      </w:r>
    </w:p>
    <w:p w14:paraId="2CFD6342" w14:textId="77777777" w:rsidR="00DA7BDF" w:rsidRPr="0076523A" w:rsidRDefault="00DA7BDF" w:rsidP="00DA7BDF">
      <w:pPr>
        <w:spacing w:after="160" w:line="278" w:lineRule="auto"/>
        <w:rPr>
          <w:rFonts w:eastAsia="Aptos" w:cstheme="minorHAnsi"/>
          <w:kern w:val="2"/>
          <w14:ligatures w14:val="standardContextual"/>
        </w:rPr>
      </w:pPr>
      <w:r w:rsidRPr="0076523A">
        <w:rPr>
          <w:rFonts w:eastAsia="Aptos" w:cstheme="minorHAnsi"/>
          <w:kern w:val="2"/>
          <w14:ligatures w14:val="standardContextual"/>
        </w:rPr>
        <w:t xml:space="preserve">Also, there are no strategic initiatives for the protection and advancement of New Zealand Sign Language or any initiatives which relate to educating people on Deaf and Disabled Awareness, nor are there any specific initiatives which address outcomes for Deaf and Hard of Hearing in modern society. </w:t>
      </w:r>
    </w:p>
    <w:p w14:paraId="116D2B4B" w14:textId="77777777" w:rsidR="00DA7BDF" w:rsidRPr="0076523A" w:rsidRDefault="00DA7BDF" w:rsidP="00DA7BDF">
      <w:pPr>
        <w:spacing w:after="160" w:line="278" w:lineRule="auto"/>
        <w:rPr>
          <w:rFonts w:eastAsia="Aptos" w:cstheme="minorHAnsi"/>
          <w:kern w:val="2"/>
          <w14:ligatures w14:val="standardContextual"/>
        </w:rPr>
      </w:pPr>
      <w:r w:rsidRPr="0076523A">
        <w:rPr>
          <w:rFonts w:eastAsia="Aptos" w:cstheme="minorHAnsi"/>
          <w:kern w:val="2"/>
          <w14:ligatures w14:val="standardContextual"/>
        </w:rPr>
        <w:t>In relation to specific areas:</w:t>
      </w:r>
    </w:p>
    <w:p w14:paraId="2422A827" w14:textId="77777777" w:rsidR="00DA7BDF" w:rsidRPr="00B11533" w:rsidRDefault="00DA7BDF" w:rsidP="00B11533">
      <w:pPr>
        <w:pStyle w:val="Heading2"/>
      </w:pPr>
      <w:r w:rsidRPr="00B11533">
        <w:t>Article 2- Progressive enjoyment of economic, social and cultural rights</w:t>
      </w:r>
    </w:p>
    <w:p w14:paraId="609993B8" w14:textId="77777777" w:rsidR="00DA7BDF" w:rsidRPr="0076523A" w:rsidRDefault="00DA7BDF" w:rsidP="00DA7BDF">
      <w:pPr>
        <w:spacing w:after="160" w:line="278" w:lineRule="auto"/>
        <w:rPr>
          <w:rFonts w:eastAsia="Aptos" w:cstheme="minorHAnsi"/>
          <w:kern w:val="2"/>
          <w14:ligatures w14:val="standardContextual"/>
        </w:rPr>
      </w:pPr>
      <w:r w:rsidRPr="0076523A">
        <w:rPr>
          <w:rFonts w:eastAsia="Aptos" w:cstheme="minorHAnsi"/>
          <w:kern w:val="2"/>
          <w14:ligatures w14:val="standardContextual"/>
        </w:rPr>
        <w:t xml:space="preserve">The report accurately outlines initiatives that the legislation underwent which do comply with the international covenants, such as those mentioned above and the National Action Plan Against Racism - however, the only initiatives undertaken for the advancement of the rights of Deaf and disabled people are the establishment of Whaikaha, recommendations for the HRA and various alterations to the government’s internal administration and agency processes. There is no mention of any specific work done to better advance the rights of Deaf and disabled people. Reference is made to the HRA already allowing for “reasonable accommodation” as well as the Education and Training Act (“the Act”) which allows for Deaf and disabled students  to have “the same rights to enrol, attend and receive” education as those who are not, however the report excludes the glaring fact of there being not enough specific legislation addressing the overall issue, as well as the effectiveness of the provisions in those acts. At [Paragraph 83], s 34 of the Act is referred to- which provides that students with special educational needs are entitled to the same rights of attendance as other students. Feedback from the Deaf and disabled community has established that students with special educational needs do not have equal </w:t>
      </w:r>
      <w:proofErr w:type="gramStart"/>
      <w:r w:rsidRPr="0076523A">
        <w:rPr>
          <w:rFonts w:eastAsia="Aptos" w:cstheme="minorHAnsi"/>
          <w:kern w:val="2"/>
          <w14:ligatures w14:val="standardContextual"/>
        </w:rPr>
        <w:t>access, and</w:t>
      </w:r>
      <w:proofErr w:type="gramEnd"/>
      <w:r w:rsidRPr="0076523A">
        <w:rPr>
          <w:rFonts w:eastAsia="Aptos" w:cstheme="minorHAnsi"/>
          <w:kern w:val="2"/>
          <w14:ligatures w14:val="standardContextual"/>
        </w:rPr>
        <w:t xml:space="preserve"> are frequently denied the right to attend school fulltime, often </w:t>
      </w:r>
      <w:proofErr w:type="gramStart"/>
      <w:r w:rsidRPr="0076523A">
        <w:rPr>
          <w:rFonts w:eastAsia="Aptos" w:cstheme="minorHAnsi"/>
          <w:kern w:val="2"/>
          <w14:ligatures w14:val="standardContextual"/>
        </w:rPr>
        <w:t>as a result of</w:t>
      </w:r>
      <w:proofErr w:type="gramEnd"/>
      <w:r w:rsidRPr="0076523A">
        <w:rPr>
          <w:rFonts w:eastAsia="Aptos" w:cstheme="minorHAnsi"/>
          <w:kern w:val="2"/>
          <w14:ligatures w14:val="standardContextual"/>
        </w:rPr>
        <w:t xml:space="preserve"> inadequate resources for schools. At [Paragraph 84], it is noted that despite the changes to disability funding, there </w:t>
      </w:r>
      <w:r w:rsidRPr="0076523A">
        <w:rPr>
          <w:rFonts w:eastAsia="Aptos" w:cstheme="minorHAnsi"/>
          <w:kern w:val="2"/>
          <w14:ligatures w14:val="standardContextual"/>
        </w:rPr>
        <w:lastRenderedPageBreak/>
        <w:t xml:space="preserve">will not be a trickle-down effect where resources for disabled people and their carers are limited or affected. Evidence suggests otherwise, as autistic people who were and are diagnosed by Telehealth are no longer eligible for NASC funding. Further, Deaf and disabled people have reported their support packages (allocated by the NASC) have been cut. Further to the above, whilst there is a National Action Plan Against Racism, no initiative to fight against Audism or Ableism has been established or referred to in the report. </w:t>
      </w:r>
    </w:p>
    <w:p w14:paraId="24D1562D" w14:textId="77777777" w:rsidR="00DA7BDF" w:rsidRPr="0076523A" w:rsidRDefault="00DA7BDF" w:rsidP="00B11533">
      <w:pPr>
        <w:pStyle w:val="Heading2"/>
      </w:pPr>
      <w:r w:rsidRPr="0076523A">
        <w:t>Article 6- Right to work</w:t>
      </w:r>
    </w:p>
    <w:p w14:paraId="0DE3D285" w14:textId="77777777" w:rsidR="00DA7BDF" w:rsidRPr="0076523A" w:rsidRDefault="00DA7BDF" w:rsidP="00DA7BDF">
      <w:pPr>
        <w:spacing w:after="160" w:line="278" w:lineRule="auto"/>
        <w:rPr>
          <w:rFonts w:eastAsia="Aptos" w:cstheme="minorHAnsi"/>
          <w:kern w:val="2"/>
          <w14:ligatures w14:val="standardContextual"/>
        </w:rPr>
      </w:pPr>
      <w:r w:rsidRPr="0076523A">
        <w:rPr>
          <w:rFonts w:eastAsia="Aptos" w:cstheme="minorHAnsi"/>
          <w:kern w:val="2"/>
          <w14:ligatures w14:val="standardContextual"/>
        </w:rPr>
        <w:t xml:space="preserve">The report outlines several processes and initiatives established for disabled people including Oranga Mahi, the Mainstream Employment Programme and the Specialist Employment process- but the report does not outline the success of these programmes nor the quality of jobs which these programmes are designed to allow disabled people to be employed by. The report does not also address the barriers to entry which Deaf and disabled people face in obtaining skilled or white-collar employment within the mainstream working world as well as any initiatives created to allow for entry into skilled professions and bias that may be faced in industries such as teaching, law, nursing or accounting. </w:t>
      </w:r>
    </w:p>
    <w:p w14:paraId="3BBA42CE" w14:textId="77777777" w:rsidR="00DA7BDF" w:rsidRPr="0076523A" w:rsidRDefault="00DA7BDF" w:rsidP="00B11533">
      <w:pPr>
        <w:pStyle w:val="Heading2"/>
      </w:pPr>
      <w:r w:rsidRPr="0076523A">
        <w:t>Article 7- Right to just and favourable conditions of work</w:t>
      </w:r>
    </w:p>
    <w:p w14:paraId="73A1B106" w14:textId="77777777" w:rsidR="00DA7BDF" w:rsidRPr="0076523A" w:rsidRDefault="00DA7BDF" w:rsidP="00DA7BDF">
      <w:pPr>
        <w:spacing w:after="160" w:line="278" w:lineRule="auto"/>
        <w:rPr>
          <w:rFonts w:eastAsia="Aptos" w:cstheme="minorHAnsi"/>
          <w:kern w:val="2"/>
          <w14:ligatures w14:val="standardContextual"/>
        </w:rPr>
      </w:pPr>
      <w:r w:rsidRPr="0076523A">
        <w:rPr>
          <w:rFonts w:eastAsia="Aptos" w:cstheme="minorHAnsi"/>
          <w:kern w:val="2"/>
          <w14:ligatures w14:val="standardContextual"/>
        </w:rPr>
        <w:t>There is no mention within this section of the Report as to initiatives undertaken to allow for just and favourable conditions of work, including a safe psychological work environment for Deaf and disabled, work environments where Deaf and disabled are given subsidised access to aids to help with typing, communication or other methods in which they are allowed to be on an equal playing field. ADL has previously submitted (in their response to the 2018 Report) that there is no explicit duty to provide reasonable accommodation under the Human Rights Act 1993 which has resulted in limited understanding of legal obligations for employers and a lack of enforceability of the provision. ADL refers the government to its previous recommendation in that submission, in which it was recommended that a clear definition (per article 2 of the UNCRPD) be included in other legislation including the Employment Relations Act and the Education Act.</w:t>
      </w:r>
    </w:p>
    <w:p w14:paraId="1D112B5E" w14:textId="77777777" w:rsidR="00DA7BDF" w:rsidRPr="0076523A" w:rsidRDefault="00DA7BDF" w:rsidP="00DA7BDF">
      <w:pPr>
        <w:spacing w:after="160" w:line="278" w:lineRule="auto"/>
        <w:rPr>
          <w:rFonts w:eastAsia="Aptos" w:cstheme="minorHAnsi"/>
          <w:kern w:val="2"/>
          <w14:ligatures w14:val="standardContextual"/>
        </w:rPr>
      </w:pPr>
      <w:r w:rsidRPr="0076523A">
        <w:rPr>
          <w:rFonts w:eastAsia="Aptos" w:cstheme="minorHAnsi"/>
          <w:kern w:val="2"/>
          <w14:ligatures w14:val="standardContextual"/>
        </w:rPr>
        <w:t xml:space="preserve"> At [Paragraph 131], the Report refers to the commercial view that the minimum wage exemption permits are an incentive for employment of disabled people- however there has been no consultation with the disabled community on this issue, which means that the Report lacks a balanced perspective. ADL has previously submitted, in their 2018 Feedback submission on the Government’s Draft Report to the Monitoring committee United Nations Convention on the Rights of Persons with Disabilities (2018) (UNCRPD) that alternatives for the Exemption Permits were desirable, the permits needed to be phased </w:t>
      </w:r>
      <w:proofErr w:type="gramStart"/>
      <w:r w:rsidRPr="0076523A">
        <w:rPr>
          <w:rFonts w:eastAsia="Aptos" w:cstheme="minorHAnsi"/>
          <w:kern w:val="2"/>
          <w14:ligatures w14:val="standardContextual"/>
        </w:rPr>
        <w:t>out</w:t>
      </w:r>
      <w:proofErr w:type="gramEnd"/>
      <w:r w:rsidRPr="0076523A">
        <w:rPr>
          <w:rFonts w:eastAsia="Aptos" w:cstheme="minorHAnsi"/>
          <w:kern w:val="2"/>
          <w14:ligatures w14:val="standardContextual"/>
        </w:rPr>
        <w:t xml:space="preserve"> and protections needed to be put in place to protect job opportunities. ADL also suggested several alternatives in that submission- of which no reference was made to in this Report.</w:t>
      </w:r>
    </w:p>
    <w:p w14:paraId="36B9761D" w14:textId="77777777" w:rsidR="00DA7BDF" w:rsidRPr="0076523A" w:rsidRDefault="00DA7BDF" w:rsidP="00DA7BDF">
      <w:pPr>
        <w:spacing w:after="160" w:line="278" w:lineRule="auto"/>
        <w:rPr>
          <w:rFonts w:eastAsia="Aptos" w:cstheme="minorHAnsi"/>
          <w:kern w:val="2"/>
          <w14:ligatures w14:val="standardContextual"/>
        </w:rPr>
      </w:pPr>
      <w:r w:rsidRPr="0076523A">
        <w:rPr>
          <w:rFonts w:eastAsia="Aptos" w:cstheme="minorHAnsi"/>
          <w:kern w:val="2"/>
          <w14:ligatures w14:val="standardContextual"/>
        </w:rPr>
        <w:lastRenderedPageBreak/>
        <w:t>There is also no reference to any initiatives for Deaf and disabled people which would allow for them to have access to complaints services in the event of workplace discrimination, bullying, harassment or abuse.</w:t>
      </w:r>
    </w:p>
    <w:p w14:paraId="73E287BD" w14:textId="77777777" w:rsidR="00DA7BDF" w:rsidRPr="0076523A" w:rsidRDefault="00DA7BDF" w:rsidP="00B11533">
      <w:pPr>
        <w:pStyle w:val="Heading2"/>
      </w:pPr>
      <w:r w:rsidRPr="0076523A">
        <w:t>Article 9- Right to social security</w:t>
      </w:r>
    </w:p>
    <w:p w14:paraId="547E5C4A" w14:textId="77777777" w:rsidR="00DA7BDF" w:rsidRPr="0076523A" w:rsidRDefault="00DA7BDF" w:rsidP="00DA7BDF">
      <w:pPr>
        <w:spacing w:after="160" w:line="278" w:lineRule="auto"/>
        <w:rPr>
          <w:rFonts w:eastAsia="Aptos" w:cstheme="minorHAnsi"/>
          <w:kern w:val="2"/>
          <w14:ligatures w14:val="standardContextual"/>
        </w:rPr>
      </w:pPr>
      <w:r w:rsidRPr="0076523A">
        <w:rPr>
          <w:rFonts w:eastAsia="Aptos" w:cstheme="minorHAnsi"/>
          <w:kern w:val="2"/>
          <w14:ligatures w14:val="standardContextual"/>
        </w:rPr>
        <w:t>There is no reference within the Report as to how the “traffic light system” may or could disproportionately and negatively affect Deaf and disabled people.</w:t>
      </w:r>
    </w:p>
    <w:p w14:paraId="457A786E" w14:textId="77777777" w:rsidR="00DA7BDF" w:rsidRPr="0076523A" w:rsidRDefault="00DA7BDF" w:rsidP="00B11533">
      <w:pPr>
        <w:pStyle w:val="Heading2"/>
      </w:pPr>
      <w:r w:rsidRPr="0076523A">
        <w:t>Article 10- Protection of family life</w:t>
      </w:r>
    </w:p>
    <w:p w14:paraId="066AF872" w14:textId="77777777" w:rsidR="00DA7BDF" w:rsidRPr="0076523A" w:rsidRDefault="00DA7BDF" w:rsidP="00DA7BDF">
      <w:pPr>
        <w:spacing w:after="160" w:line="278" w:lineRule="auto"/>
        <w:rPr>
          <w:rFonts w:eastAsia="Aptos" w:cstheme="minorHAnsi"/>
          <w:kern w:val="2"/>
          <w14:ligatures w14:val="standardContextual"/>
        </w:rPr>
      </w:pPr>
      <w:r w:rsidRPr="0076523A">
        <w:rPr>
          <w:rFonts w:eastAsia="Aptos" w:cstheme="minorHAnsi"/>
          <w:kern w:val="2"/>
          <w14:ligatures w14:val="standardContextual"/>
        </w:rPr>
        <w:t>Reference is made to an “All About Me” plan in relation to vulnerable children- with the purpose of support for the child’s culture, belonging, identity and family. No detail is provided as to how this plan may or could be used to provide vulnerable Deaf children with the tools necessary to preserve their connections with Deaf identity and Deaf culture as well as how this plan could be used to ensure that the people surrounding those children have an appropriate level of Deaf and cultural awareness.</w:t>
      </w:r>
    </w:p>
    <w:p w14:paraId="695B584E" w14:textId="77777777" w:rsidR="00DA7BDF" w:rsidRPr="0076523A" w:rsidRDefault="00DA7BDF" w:rsidP="00B11533">
      <w:pPr>
        <w:pStyle w:val="Heading2"/>
      </w:pPr>
      <w:r w:rsidRPr="0076523A">
        <w:t>Article 11- Right to housing and adequate standard of living</w:t>
      </w:r>
    </w:p>
    <w:p w14:paraId="70578565" w14:textId="77777777" w:rsidR="00DA7BDF" w:rsidRPr="0076523A" w:rsidRDefault="00DA7BDF" w:rsidP="00DA7BDF">
      <w:pPr>
        <w:spacing w:after="160" w:line="278" w:lineRule="auto"/>
        <w:rPr>
          <w:rFonts w:eastAsia="Aptos" w:cstheme="minorHAnsi"/>
          <w:kern w:val="2"/>
          <w14:ligatures w14:val="standardContextual"/>
        </w:rPr>
      </w:pPr>
      <w:r w:rsidRPr="0076523A">
        <w:rPr>
          <w:rFonts w:eastAsia="Aptos" w:cstheme="minorHAnsi"/>
          <w:kern w:val="2"/>
          <w14:ligatures w14:val="standardContextual"/>
        </w:rPr>
        <w:t xml:space="preserve">The report refers to Maihi Ka Ora- a plan which sets out a vision for Māori housing, yet there is no plan or initiative which prioritises Deaf and disabled access to affordable and safe housing. There is also no reference to any strategies which would relieve Deaf and disabled of barriers in the housing market, including communication barriers and education on bank lending. </w:t>
      </w:r>
    </w:p>
    <w:p w14:paraId="68A56475" w14:textId="77777777" w:rsidR="00DA7BDF" w:rsidRPr="00135CCB" w:rsidRDefault="00DA7BDF" w:rsidP="00DA7BDF">
      <w:pPr>
        <w:spacing w:after="160" w:line="278" w:lineRule="auto"/>
        <w:rPr>
          <w:rFonts w:eastAsia="Aptos" w:cstheme="minorHAnsi"/>
          <w:kern w:val="2"/>
          <w14:ligatures w14:val="standardContextual"/>
        </w:rPr>
      </w:pPr>
      <w:r w:rsidRPr="0076523A">
        <w:rPr>
          <w:rFonts w:eastAsia="Aptos" w:cstheme="minorHAnsi"/>
          <w:kern w:val="2"/>
          <w14:ligatures w14:val="standardContextual"/>
        </w:rPr>
        <w:t xml:space="preserve">The report also outlines strategies for consistency with the right to housing, however no mention is made about the discrimination that Deaf and disabled face when it comes to tenancy applications via the use of credit checks, referencing via phone calls and language barriers when it comes to communicating with property managers and landlords. ADL further submits that the process for Tenancy Tribunal applications and orders for the benefit of tenants is limited in the sense that many Deaf and disabled people face a language barrier, having limited legal access and understanding of legal language and their rights under the Residential Tenancies Act. </w:t>
      </w:r>
    </w:p>
    <w:p w14:paraId="2C0BC495" w14:textId="77777777" w:rsidR="00DA7BDF" w:rsidRPr="0076523A" w:rsidRDefault="00DA7BDF" w:rsidP="00DA7BDF">
      <w:pPr>
        <w:spacing w:after="160" w:line="278" w:lineRule="auto"/>
        <w:rPr>
          <w:rFonts w:eastAsia="Aptos" w:cstheme="minorHAnsi"/>
          <w:kern w:val="2"/>
          <w14:ligatures w14:val="standardContextual"/>
        </w:rPr>
      </w:pPr>
      <w:r w:rsidRPr="0076523A">
        <w:rPr>
          <w:rFonts w:eastAsia="Aptos" w:cstheme="minorHAnsi"/>
          <w:kern w:val="2"/>
          <w14:ligatures w14:val="standardContextual"/>
        </w:rPr>
        <w:t xml:space="preserve"> The Report also does not adequately address any consequences to Deaf and disabled arising out of the Residential Tenancies Amendment Bill, which allows for landlords to terminate tenants on a “no cause basis”.</w:t>
      </w:r>
    </w:p>
    <w:p w14:paraId="600E3583" w14:textId="77777777" w:rsidR="0076523A" w:rsidRDefault="0076523A">
      <w:pPr>
        <w:spacing w:before="0" w:after="160"/>
        <w:rPr>
          <w:rFonts w:eastAsia="Aptos" w:cstheme="minorHAnsi"/>
          <w:b/>
          <w:bCs/>
          <w:kern w:val="2"/>
          <w14:ligatures w14:val="standardContextual"/>
        </w:rPr>
      </w:pPr>
      <w:r>
        <w:rPr>
          <w:rFonts w:eastAsia="Aptos" w:cstheme="minorHAnsi"/>
          <w:b/>
          <w:bCs/>
          <w:kern w:val="2"/>
          <w14:ligatures w14:val="standardContextual"/>
        </w:rPr>
        <w:br w:type="page"/>
      </w:r>
    </w:p>
    <w:p w14:paraId="360811D8" w14:textId="46199FA4" w:rsidR="00DA7BDF" w:rsidRPr="0076523A" w:rsidRDefault="00DA7BDF" w:rsidP="00B11533">
      <w:pPr>
        <w:pStyle w:val="Heading2"/>
      </w:pPr>
      <w:r w:rsidRPr="0076523A">
        <w:lastRenderedPageBreak/>
        <w:t>In relation to what New Zealand has done well:</w:t>
      </w:r>
    </w:p>
    <w:p w14:paraId="79CC17CC" w14:textId="19EE2457" w:rsidR="00135CCB" w:rsidRDefault="00DA7BDF" w:rsidP="00DA7BDF">
      <w:pPr>
        <w:rPr>
          <w:rFonts w:eastAsia="Aptos" w:cstheme="minorHAnsi"/>
          <w:kern w:val="2"/>
          <w14:ligatures w14:val="standardContextual"/>
        </w:rPr>
      </w:pPr>
      <w:r w:rsidRPr="0076523A">
        <w:rPr>
          <w:rFonts w:eastAsia="Aptos" w:cstheme="minorHAnsi"/>
          <w:kern w:val="2"/>
          <w14:ligatures w14:val="standardContextual"/>
        </w:rPr>
        <w:t>Many advancements have been made in relation to the advancement of Māori and other minorities’ cultural and economic rights, however the legislation and initiatives in place to address gaps for Deaf and disabled people are incredibly vague and there is little to support that there has been much improvement. In addition to the above, the New Zealand Government’s public consultation, submission, and processing procedures are not accessible to the Deaf and disabled community. Deaf and disabled people face language, communication and practical barriers – the process for select committee submissions is not widely known or part of mainstream education. By law, the government is required to consult the Deaf community on matters relating to NZSL (New Zealand Sign Language Act 2006) Principles to guide government departments. Nos 9 Principles. (see appendix A). However, this consultation requirement has scarcely been met and opportunities for consultation, submission or open discussion have not been provided. If this were followed, it is likely that many of the above unaddressed issues would be somewhat resolved.</w:t>
      </w:r>
    </w:p>
    <w:p w14:paraId="5FF4CDDC" w14:textId="77777777" w:rsidR="00135CCB" w:rsidRDefault="00135CCB">
      <w:pPr>
        <w:spacing w:before="0" w:after="160"/>
        <w:rPr>
          <w:rFonts w:eastAsia="Aptos" w:cstheme="minorHAnsi"/>
          <w:kern w:val="2"/>
          <w14:ligatures w14:val="standardContextual"/>
        </w:rPr>
      </w:pPr>
      <w:r>
        <w:rPr>
          <w:rFonts w:eastAsia="Aptos" w:cstheme="minorHAnsi"/>
          <w:kern w:val="2"/>
          <w14:ligatures w14:val="standardContextual"/>
        </w:rPr>
        <w:br w:type="page"/>
      </w:r>
    </w:p>
    <w:p w14:paraId="4599E903" w14:textId="77777777" w:rsidR="00135CCB" w:rsidRPr="00135CCB" w:rsidRDefault="00135CCB" w:rsidP="008E268B">
      <w:pPr>
        <w:pStyle w:val="Heading2"/>
        <w:rPr>
          <w:color w:val="000000"/>
          <w:sz w:val="29"/>
          <w:szCs w:val="29"/>
          <w:bdr w:val="none" w:sz="0" w:space="0" w:color="auto" w:frame="1"/>
          <w:lang w:eastAsia="en-NZ"/>
        </w:rPr>
      </w:pPr>
      <w:r w:rsidRPr="00135CCB">
        <w:lastRenderedPageBreak/>
        <w:t>Appendix A</w:t>
      </w:r>
    </w:p>
    <w:p w14:paraId="3C8CEDCF" w14:textId="77777777" w:rsidR="00135CCB" w:rsidRPr="008B5690" w:rsidRDefault="00135CCB" w:rsidP="00135CCB">
      <w:pPr>
        <w:shd w:val="clear" w:color="auto" w:fill="FFFFFF"/>
        <w:spacing w:line="288" w:lineRule="atLeast"/>
        <w:textAlignment w:val="baseline"/>
        <w:outlineLvl w:val="4"/>
        <w:rPr>
          <w:b/>
          <w:bCs/>
          <w:color w:val="000000"/>
          <w:sz w:val="29"/>
          <w:szCs w:val="29"/>
          <w:bdr w:val="none" w:sz="0" w:space="0" w:color="auto" w:frame="1"/>
          <w:lang w:eastAsia="en-NZ"/>
        </w:rPr>
      </w:pPr>
    </w:p>
    <w:p w14:paraId="058BF040" w14:textId="77777777" w:rsidR="00135CCB" w:rsidRPr="008E268B" w:rsidRDefault="00135CCB" w:rsidP="008E268B">
      <w:pPr>
        <w:pStyle w:val="Subtitle"/>
      </w:pPr>
      <w:r w:rsidRPr="008E268B">
        <w:t>Part 2 New Zealand Sign Language Act 2006</w:t>
      </w:r>
    </w:p>
    <w:p w14:paraId="7BB4AA18" w14:textId="77777777" w:rsidR="00135CCB" w:rsidRPr="00135CCB" w:rsidRDefault="00135CCB" w:rsidP="00135CCB">
      <w:pPr>
        <w:shd w:val="clear" w:color="auto" w:fill="FFFFFF"/>
        <w:spacing w:line="288" w:lineRule="atLeast"/>
        <w:textAlignment w:val="baseline"/>
        <w:outlineLvl w:val="4"/>
        <w:rPr>
          <w:color w:val="000000"/>
          <w:bdr w:val="none" w:sz="0" w:space="0" w:color="auto" w:frame="1"/>
          <w:lang w:eastAsia="en-NZ"/>
        </w:rPr>
      </w:pPr>
      <w:hyperlink r:id="rId8" w:history="1">
        <w:r w:rsidRPr="00135CCB">
          <w:rPr>
            <w:color w:val="467886"/>
            <w:u w:val="single"/>
            <w:bdr w:val="none" w:sz="0" w:space="0" w:color="auto" w:frame="1"/>
            <w:lang w:eastAsia="en-NZ"/>
          </w:rPr>
          <w:t>https://www.legislation.govt.nz/act/public/2006/0018/latest/whole.html</w:t>
        </w:r>
      </w:hyperlink>
      <w:r w:rsidRPr="00135CCB">
        <w:rPr>
          <w:color w:val="000000"/>
          <w:bdr w:val="none" w:sz="0" w:space="0" w:color="auto" w:frame="1"/>
          <w:lang w:eastAsia="en-NZ"/>
        </w:rPr>
        <w:t xml:space="preserve"> </w:t>
      </w:r>
    </w:p>
    <w:p w14:paraId="0158BFFF" w14:textId="77777777" w:rsidR="00135CCB" w:rsidRPr="00135CCB" w:rsidRDefault="00135CCB" w:rsidP="008E268B">
      <w:pPr>
        <w:pStyle w:val="Subtitle"/>
      </w:pPr>
      <w:r w:rsidRPr="00135CCB">
        <w:t>Principles to guide government departments</w:t>
      </w:r>
    </w:p>
    <w:p w14:paraId="20985C3A" w14:textId="77777777" w:rsidR="00135CCB" w:rsidRPr="00135CCB" w:rsidRDefault="00135CCB" w:rsidP="008E268B">
      <w:pPr>
        <w:pStyle w:val="Subtitle"/>
      </w:pPr>
      <w:r w:rsidRPr="00135CCB">
        <w:t>9 Principles</w:t>
      </w:r>
    </w:p>
    <w:p w14:paraId="1016E335" w14:textId="77777777" w:rsidR="00135CCB" w:rsidRPr="00135CCB" w:rsidRDefault="00135CCB" w:rsidP="00135CCB">
      <w:pPr>
        <w:shd w:val="clear" w:color="auto" w:fill="FFFFFF"/>
        <w:spacing w:line="288" w:lineRule="atLeast"/>
        <w:jc w:val="both"/>
        <w:textAlignment w:val="baseline"/>
        <w:rPr>
          <w:color w:val="000000"/>
          <w:sz w:val="25"/>
          <w:szCs w:val="25"/>
          <w:lang w:eastAsia="en-NZ"/>
        </w:rPr>
      </w:pPr>
      <w:r w:rsidRPr="00135CCB">
        <w:rPr>
          <w:color w:val="000000"/>
          <w:sz w:val="25"/>
          <w:szCs w:val="25"/>
          <w:bdr w:val="none" w:sz="0" w:space="0" w:color="auto" w:frame="1"/>
          <w:lang w:eastAsia="en-NZ"/>
        </w:rPr>
        <w:t>(1)</w:t>
      </w:r>
      <w:r w:rsidRPr="00135CCB">
        <w:rPr>
          <w:color w:val="000000"/>
          <w:sz w:val="25"/>
          <w:szCs w:val="25"/>
          <w:lang w:eastAsia="en-NZ"/>
        </w:rPr>
        <w:t xml:space="preserve"> A government department should, when exercising its functions and powers, be guided, so far as reasonably practicable, by the following principles:</w:t>
      </w:r>
    </w:p>
    <w:p w14:paraId="59171C54" w14:textId="77777777" w:rsidR="00135CCB" w:rsidRPr="00135CCB" w:rsidRDefault="00135CCB" w:rsidP="00135CCB">
      <w:pPr>
        <w:shd w:val="clear" w:color="auto" w:fill="FFFFFF"/>
        <w:spacing w:line="288" w:lineRule="atLeast"/>
        <w:jc w:val="both"/>
        <w:textAlignment w:val="baseline"/>
        <w:outlineLvl w:val="4"/>
        <w:rPr>
          <w:color w:val="000000"/>
          <w:sz w:val="20"/>
          <w:szCs w:val="20"/>
          <w:lang w:eastAsia="en-NZ"/>
        </w:rPr>
      </w:pPr>
      <w:r w:rsidRPr="00135CCB">
        <w:rPr>
          <w:color w:val="000000"/>
          <w:sz w:val="20"/>
          <w:szCs w:val="20"/>
          <w:bdr w:val="none" w:sz="0" w:space="0" w:color="auto" w:frame="1"/>
          <w:lang w:eastAsia="en-NZ"/>
        </w:rPr>
        <w:t>(a)</w:t>
      </w:r>
      <w:r w:rsidRPr="00135CCB">
        <w:rPr>
          <w:color w:val="000000"/>
          <w:sz w:val="20"/>
          <w:szCs w:val="20"/>
          <w:lang w:eastAsia="en-NZ"/>
        </w:rPr>
        <w:t xml:space="preserve"> </w:t>
      </w:r>
      <w:r w:rsidRPr="00135CCB">
        <w:rPr>
          <w:color w:val="000000"/>
          <w:sz w:val="25"/>
          <w:szCs w:val="25"/>
          <w:lang w:eastAsia="en-NZ"/>
        </w:rPr>
        <w:t>the Deaf community should be consulted on matters relating to NZSL (including, for example, the promotion of the use of NZSL):</w:t>
      </w:r>
    </w:p>
    <w:p w14:paraId="66A6A592" w14:textId="77777777" w:rsidR="00135CCB" w:rsidRPr="00135CCB" w:rsidRDefault="00135CCB" w:rsidP="00135CCB">
      <w:pPr>
        <w:shd w:val="clear" w:color="auto" w:fill="FFFFFF"/>
        <w:spacing w:line="288" w:lineRule="atLeast"/>
        <w:jc w:val="both"/>
        <w:textAlignment w:val="baseline"/>
        <w:outlineLvl w:val="4"/>
        <w:rPr>
          <w:color w:val="000000"/>
          <w:sz w:val="20"/>
          <w:szCs w:val="20"/>
          <w:lang w:eastAsia="en-NZ"/>
        </w:rPr>
      </w:pPr>
      <w:r w:rsidRPr="00135CCB">
        <w:rPr>
          <w:color w:val="000000"/>
          <w:sz w:val="20"/>
          <w:szCs w:val="20"/>
          <w:bdr w:val="none" w:sz="0" w:space="0" w:color="auto" w:frame="1"/>
          <w:lang w:eastAsia="en-NZ"/>
        </w:rPr>
        <w:t>(b)</w:t>
      </w:r>
      <w:r w:rsidRPr="00135CCB">
        <w:rPr>
          <w:color w:val="000000"/>
          <w:sz w:val="20"/>
          <w:szCs w:val="20"/>
          <w:lang w:eastAsia="en-NZ"/>
        </w:rPr>
        <w:t xml:space="preserve"> </w:t>
      </w:r>
      <w:r w:rsidRPr="00135CCB">
        <w:rPr>
          <w:color w:val="000000"/>
          <w:sz w:val="25"/>
          <w:szCs w:val="25"/>
          <w:lang w:eastAsia="en-NZ"/>
        </w:rPr>
        <w:t>NZSL should be used in the promotion to the public of government services and in the provision of information to the public:</w:t>
      </w:r>
    </w:p>
    <w:p w14:paraId="222AB0D3" w14:textId="77777777" w:rsidR="00135CCB" w:rsidRPr="00135CCB" w:rsidRDefault="00135CCB" w:rsidP="00135CCB">
      <w:pPr>
        <w:shd w:val="clear" w:color="auto" w:fill="FFFFFF"/>
        <w:spacing w:line="288" w:lineRule="atLeast"/>
        <w:jc w:val="both"/>
        <w:textAlignment w:val="baseline"/>
        <w:outlineLvl w:val="4"/>
        <w:rPr>
          <w:color w:val="000000"/>
          <w:sz w:val="20"/>
          <w:szCs w:val="20"/>
          <w:lang w:eastAsia="en-NZ"/>
        </w:rPr>
      </w:pPr>
      <w:r w:rsidRPr="00135CCB">
        <w:rPr>
          <w:color w:val="000000"/>
          <w:sz w:val="20"/>
          <w:szCs w:val="20"/>
          <w:bdr w:val="none" w:sz="0" w:space="0" w:color="auto" w:frame="1"/>
          <w:lang w:eastAsia="en-NZ"/>
        </w:rPr>
        <w:t>(c)</w:t>
      </w:r>
      <w:r w:rsidRPr="00135CCB">
        <w:rPr>
          <w:color w:val="000000"/>
          <w:sz w:val="20"/>
          <w:szCs w:val="20"/>
          <w:lang w:eastAsia="en-NZ"/>
        </w:rPr>
        <w:t xml:space="preserve"> </w:t>
      </w:r>
      <w:r w:rsidRPr="00135CCB">
        <w:rPr>
          <w:color w:val="000000"/>
          <w:sz w:val="25"/>
          <w:szCs w:val="25"/>
          <w:lang w:eastAsia="en-NZ"/>
        </w:rPr>
        <w:t xml:space="preserve">government services and information should be made accessible to the Deaf community </w:t>
      </w:r>
      <w:proofErr w:type="gramStart"/>
      <w:r w:rsidRPr="00135CCB">
        <w:rPr>
          <w:color w:val="000000"/>
          <w:sz w:val="25"/>
          <w:szCs w:val="25"/>
          <w:lang w:eastAsia="en-NZ"/>
        </w:rPr>
        <w:t>through the use of</w:t>
      </w:r>
      <w:proofErr w:type="gramEnd"/>
      <w:r w:rsidRPr="00135CCB">
        <w:rPr>
          <w:color w:val="000000"/>
          <w:sz w:val="25"/>
          <w:szCs w:val="25"/>
          <w:lang w:eastAsia="en-NZ"/>
        </w:rPr>
        <w:t xml:space="preserve"> appropriate means (including the use of NZSL).</w:t>
      </w:r>
    </w:p>
    <w:p w14:paraId="5ACE5FE0" w14:textId="77777777" w:rsidR="00135CCB" w:rsidRPr="00135CCB" w:rsidRDefault="00135CCB" w:rsidP="00135CCB">
      <w:pPr>
        <w:shd w:val="clear" w:color="auto" w:fill="FFFFFF"/>
        <w:spacing w:line="288" w:lineRule="atLeast"/>
        <w:jc w:val="both"/>
        <w:textAlignment w:val="baseline"/>
        <w:rPr>
          <w:color w:val="000000"/>
          <w:sz w:val="25"/>
          <w:szCs w:val="25"/>
          <w:lang w:eastAsia="en-NZ"/>
        </w:rPr>
      </w:pPr>
      <w:r w:rsidRPr="00135CCB">
        <w:rPr>
          <w:color w:val="000000"/>
          <w:sz w:val="25"/>
          <w:szCs w:val="25"/>
          <w:bdr w:val="none" w:sz="0" w:space="0" w:color="auto" w:frame="1"/>
          <w:lang w:eastAsia="en-NZ"/>
        </w:rPr>
        <w:t>(2)</w:t>
      </w:r>
      <w:r w:rsidRPr="00135CCB">
        <w:rPr>
          <w:color w:val="000000"/>
          <w:sz w:val="25"/>
          <w:szCs w:val="25"/>
          <w:lang w:eastAsia="en-NZ"/>
        </w:rPr>
        <w:t xml:space="preserve"> Consultation carried out by a government department under subsection (1)</w:t>
      </w:r>
      <w:r w:rsidRPr="00135CCB">
        <w:rPr>
          <w:rFonts w:ascii="Tahoma" w:hAnsi="Tahoma" w:cs="Tahoma"/>
          <w:color w:val="000000"/>
          <w:sz w:val="25"/>
          <w:szCs w:val="25"/>
          <w:lang w:eastAsia="en-NZ"/>
        </w:rPr>
        <w:t>﻿</w:t>
      </w:r>
      <w:r w:rsidRPr="00135CCB">
        <w:rPr>
          <w:color w:val="000000"/>
          <w:sz w:val="25"/>
          <w:szCs w:val="25"/>
          <w:lang w:eastAsia="en-NZ"/>
        </w:rPr>
        <w:t xml:space="preserve">(a) is to be </w:t>
      </w:r>
      <w:proofErr w:type="gramStart"/>
      <w:r w:rsidRPr="00135CCB">
        <w:rPr>
          <w:color w:val="000000"/>
          <w:sz w:val="25"/>
          <w:szCs w:val="25"/>
          <w:lang w:eastAsia="en-NZ"/>
        </w:rPr>
        <w:t>effected</w:t>
      </w:r>
      <w:proofErr w:type="gramEnd"/>
      <w:r w:rsidRPr="00135CCB">
        <w:rPr>
          <w:color w:val="000000"/>
          <w:sz w:val="25"/>
          <w:szCs w:val="25"/>
          <w:lang w:eastAsia="en-NZ"/>
        </w:rPr>
        <w:t xml:space="preserve"> by the chief executive of the government department consulting, to the extent that is reasonably practicable, with the persons or organisations that the chief executive considers to be representative of the interests of the members of the Deaf community relating to NZSL.</w:t>
      </w:r>
    </w:p>
    <w:p w14:paraId="225B0C28" w14:textId="7BF4F265" w:rsidR="00A462E1" w:rsidRPr="00135CCB" w:rsidRDefault="00135CCB" w:rsidP="00135CCB">
      <w:pPr>
        <w:shd w:val="clear" w:color="auto" w:fill="FFFFFF"/>
        <w:spacing w:line="288" w:lineRule="atLeast"/>
        <w:jc w:val="both"/>
        <w:textAlignment w:val="baseline"/>
        <w:rPr>
          <w:color w:val="000000"/>
          <w:sz w:val="25"/>
          <w:szCs w:val="25"/>
          <w:lang w:eastAsia="en-NZ"/>
        </w:rPr>
      </w:pPr>
      <w:r w:rsidRPr="00135CCB">
        <w:rPr>
          <w:color w:val="000000"/>
          <w:sz w:val="25"/>
          <w:szCs w:val="25"/>
          <w:bdr w:val="none" w:sz="0" w:space="0" w:color="auto" w:frame="1"/>
          <w:lang w:eastAsia="en-NZ"/>
        </w:rPr>
        <w:t>(3)</w:t>
      </w:r>
      <w:r w:rsidRPr="00135CCB">
        <w:rPr>
          <w:color w:val="000000"/>
          <w:sz w:val="25"/>
          <w:szCs w:val="25"/>
          <w:lang w:eastAsia="en-NZ"/>
        </w:rPr>
        <w:t xml:space="preserve"> The purpose of the principles in subsection (1) is to promote access to government information and services for the Deaf community, but nothing in subsection (1) is to be read as conferring on the Deaf community advantages not enjoyed by other persons.</w:t>
      </w:r>
    </w:p>
    <w:sectPr w:rsidR="00A462E1" w:rsidRPr="00135CCB" w:rsidSect="0076523A">
      <w:footerReference w:type="default" r:id="rId9"/>
      <w:headerReference w:type="first" r:id="rId10"/>
      <w:footerReference w:type="first" r:id="rId11"/>
      <w:pgSz w:w="11906" w:h="16838" w:code="9"/>
      <w:pgMar w:top="1134" w:right="851" w:bottom="567" w:left="851" w:header="454" w:footer="187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42D84" w14:textId="77777777" w:rsidR="00C3220F" w:rsidRDefault="00C3220F" w:rsidP="00341BD7">
      <w:pPr>
        <w:spacing w:after="0" w:line="240" w:lineRule="auto"/>
      </w:pPr>
      <w:r>
        <w:separator/>
      </w:r>
    </w:p>
  </w:endnote>
  <w:endnote w:type="continuationSeparator" w:id="0">
    <w:p w14:paraId="132C0F6C" w14:textId="77777777" w:rsidR="00C3220F" w:rsidRDefault="00C3220F" w:rsidP="00341B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A8DDD" w14:textId="080D248A" w:rsidR="00341BD7" w:rsidRPr="0076523A" w:rsidRDefault="0076523A" w:rsidP="0076523A">
    <w:pPr>
      <w:pStyle w:val="Footer"/>
      <w:spacing w:before="480"/>
    </w:pPr>
    <w:r>
      <w:rPr>
        <w:szCs w:val="24"/>
      </w:rPr>
      <w:t xml:space="preserve">Page </w:t>
    </w:r>
    <w:r w:rsidRPr="00DA7BDF">
      <w:rPr>
        <w:szCs w:val="24"/>
      </w:rPr>
      <w:fldChar w:fldCharType="begin"/>
    </w:r>
    <w:r w:rsidRPr="00DA7BDF">
      <w:rPr>
        <w:szCs w:val="24"/>
      </w:rPr>
      <w:instrText xml:space="preserve"> PAGE   \* MERGEFORMAT </w:instrText>
    </w:r>
    <w:r w:rsidRPr="00DA7BDF">
      <w:rPr>
        <w:szCs w:val="24"/>
      </w:rPr>
      <w:fldChar w:fldCharType="separate"/>
    </w:r>
    <w:r>
      <w:rPr>
        <w:szCs w:val="24"/>
      </w:rPr>
      <w:t>1</w:t>
    </w:r>
    <w:r w:rsidRPr="00DA7BDF">
      <w:rPr>
        <w:noProof/>
        <w:szCs w:val="24"/>
      </w:rPr>
      <w:fldChar w:fldCharType="end"/>
    </w:r>
    <w:r>
      <w:rPr>
        <w:noProof/>
        <w:color w:val="000000"/>
      </w:rPr>
      <w:drawing>
        <wp:anchor distT="0" distB="0" distL="114300" distR="114300" simplePos="0" relativeHeight="251666432" behindDoc="1" locked="0" layoutInCell="1" allowOverlap="1" wp14:anchorId="7A4BFCDB" wp14:editId="126C621F">
          <wp:simplePos x="0" y="0"/>
          <wp:positionH relativeFrom="column">
            <wp:posOffset>-533400</wp:posOffset>
          </wp:positionH>
          <wp:positionV relativeFrom="page">
            <wp:posOffset>9076055</wp:posOffset>
          </wp:positionV>
          <wp:extent cx="7858800" cy="1623600"/>
          <wp:effectExtent l="0" t="0" r="0" b="0"/>
          <wp:wrapNone/>
          <wp:docPr id="115066493" name="image2.png" descr="foot"/>
          <wp:cNvGraphicFramePr/>
          <a:graphic xmlns:a="http://schemas.openxmlformats.org/drawingml/2006/main">
            <a:graphicData uri="http://schemas.openxmlformats.org/drawingml/2006/picture">
              <pic:pic xmlns:pic="http://schemas.openxmlformats.org/drawingml/2006/picture">
                <pic:nvPicPr>
                  <pic:cNvPr id="0" name="image2.png" descr="foot"/>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7858800" cy="1623600"/>
                  </a:xfrm>
                  <a:prstGeom prst="rect">
                    <a:avLst/>
                  </a:prstGeom>
                  <a:ln/>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D0D8B" w14:textId="0CB0326A" w:rsidR="00341BD7" w:rsidRPr="00D16ACB" w:rsidRDefault="00DA7BDF" w:rsidP="00DA7BDF">
    <w:pPr>
      <w:tabs>
        <w:tab w:val="right" w:pos="10065"/>
      </w:tabs>
      <w:spacing w:before="360" w:after="120"/>
      <w:rPr>
        <w:szCs w:val="24"/>
      </w:rPr>
    </w:pPr>
    <w:r>
      <w:rPr>
        <w:noProof/>
        <w:color w:val="000000"/>
      </w:rPr>
      <w:drawing>
        <wp:anchor distT="0" distB="0" distL="114300" distR="114300" simplePos="0" relativeHeight="251660287" behindDoc="1" locked="0" layoutInCell="1" allowOverlap="1" wp14:anchorId="0EFDA69E" wp14:editId="5A44EB72">
          <wp:simplePos x="0" y="0"/>
          <wp:positionH relativeFrom="column">
            <wp:posOffset>-597535</wp:posOffset>
          </wp:positionH>
          <wp:positionV relativeFrom="page">
            <wp:posOffset>9048750</wp:posOffset>
          </wp:positionV>
          <wp:extent cx="7858800" cy="1623600"/>
          <wp:effectExtent l="0" t="0" r="0" b="0"/>
          <wp:wrapNone/>
          <wp:docPr id="941597938" name="image2.png" descr="A solid red bar with the words respect, respond, resolve in white. A stone sculpture of a women holding a sword in one hand "/>
          <wp:cNvGraphicFramePr/>
          <a:graphic xmlns:a="http://schemas.openxmlformats.org/drawingml/2006/main">
            <a:graphicData uri="http://schemas.openxmlformats.org/drawingml/2006/picture">
              <pic:pic xmlns:pic="http://schemas.openxmlformats.org/drawingml/2006/picture">
                <pic:nvPicPr>
                  <pic:cNvPr id="941597938" name="image2.png" descr="A solid red bar with the words respect, respond, resolve in white. A stone sculpture of a women holding a sword in one hand "/>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7858800" cy="1623600"/>
                  </a:xfrm>
                  <a:prstGeom prst="rect">
                    <a:avLst/>
                  </a:prstGeom>
                  <a:ln/>
                </pic:spPr>
              </pic:pic>
            </a:graphicData>
          </a:graphic>
          <wp14:sizeRelH relativeFrom="margin">
            <wp14:pctWidth>0</wp14:pctWidth>
          </wp14:sizeRelH>
          <wp14:sizeRelV relativeFrom="margin">
            <wp14:pctHeight>0</wp14:pctHeight>
          </wp14:sizeRelV>
        </wp:anchor>
      </w:drawing>
    </w:r>
    <w:r>
      <w:rPr>
        <w:szCs w:val="24"/>
      </w:rPr>
      <w:t xml:space="preserve">Page </w:t>
    </w:r>
    <w:r w:rsidRPr="00DA7BDF">
      <w:rPr>
        <w:szCs w:val="24"/>
      </w:rPr>
      <w:fldChar w:fldCharType="begin"/>
    </w:r>
    <w:r w:rsidRPr="00DA7BDF">
      <w:rPr>
        <w:szCs w:val="24"/>
      </w:rPr>
      <w:instrText xml:space="preserve"> PAGE   \* MERGEFORMAT </w:instrText>
    </w:r>
    <w:r w:rsidRPr="00DA7BDF">
      <w:rPr>
        <w:szCs w:val="24"/>
      </w:rPr>
      <w:fldChar w:fldCharType="separate"/>
    </w:r>
    <w:r w:rsidRPr="00DA7BDF">
      <w:rPr>
        <w:noProof/>
        <w:szCs w:val="24"/>
      </w:rPr>
      <w:t>1</w:t>
    </w:r>
    <w:r w:rsidRPr="00DA7BDF">
      <w:rPr>
        <w:noProof/>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6EC61" w14:textId="77777777" w:rsidR="00C3220F" w:rsidRDefault="00C3220F" w:rsidP="00341BD7">
      <w:pPr>
        <w:spacing w:after="0" w:line="240" w:lineRule="auto"/>
      </w:pPr>
      <w:r>
        <w:separator/>
      </w:r>
    </w:p>
  </w:footnote>
  <w:footnote w:type="continuationSeparator" w:id="0">
    <w:p w14:paraId="1748C41B" w14:textId="77777777" w:rsidR="00C3220F" w:rsidRDefault="00C3220F" w:rsidP="00341B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4B7FB" w14:textId="61EBEFE3" w:rsidR="0049224C" w:rsidRDefault="003E1526" w:rsidP="0049224C">
    <w:pPr>
      <w:pStyle w:val="Header"/>
      <w:jc w:val="right"/>
      <w:rPr>
        <w:szCs w:val="24"/>
      </w:rPr>
    </w:pPr>
    <w:r w:rsidRPr="003E1526">
      <w:rPr>
        <w:sz w:val="28"/>
        <w:szCs w:val="28"/>
      </w:rPr>
      <w:drawing>
        <wp:anchor distT="0" distB="0" distL="114300" distR="114300" simplePos="0" relativeHeight="251664384" behindDoc="1" locked="0" layoutInCell="1" allowOverlap="1" wp14:anchorId="2C771A24" wp14:editId="3FB32765">
          <wp:simplePos x="0" y="0"/>
          <wp:positionH relativeFrom="column">
            <wp:posOffset>2539</wp:posOffset>
          </wp:positionH>
          <wp:positionV relativeFrom="page">
            <wp:posOffset>447674</wp:posOffset>
          </wp:positionV>
          <wp:extent cx="2885661" cy="866775"/>
          <wp:effectExtent l="0" t="0" r="0" b="0"/>
          <wp:wrapNone/>
          <wp:docPr id="1238576049" name="Picture 1" descr="Aotearoa Disability La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745948" name="Picture 1" descr="Aotearoa Disability Law Logo"/>
                  <pic:cNvPicPr/>
                </pic:nvPicPr>
                <pic:blipFill>
                  <a:blip r:embed="rId1">
                    <a:extLst>
                      <a:ext uri="{28A0092B-C50C-407E-A947-70E740481C1C}">
                        <a14:useLocalDpi xmlns:a14="http://schemas.microsoft.com/office/drawing/2010/main" val="0"/>
                      </a:ext>
                    </a:extLst>
                  </a:blip>
                  <a:stretch>
                    <a:fillRect/>
                  </a:stretch>
                </pic:blipFill>
                <pic:spPr>
                  <a:xfrm>
                    <a:off x="0" y="0"/>
                    <a:ext cx="2890934" cy="868359"/>
                  </a:xfrm>
                  <a:prstGeom prst="rect">
                    <a:avLst/>
                  </a:prstGeom>
                </pic:spPr>
              </pic:pic>
            </a:graphicData>
          </a:graphic>
          <wp14:sizeRelH relativeFrom="margin">
            <wp14:pctWidth>0</wp14:pctWidth>
          </wp14:sizeRelH>
          <wp14:sizeRelV relativeFrom="margin">
            <wp14:pctHeight>0</wp14:pctHeight>
          </wp14:sizeRelV>
        </wp:anchor>
      </w:drawing>
    </w:r>
    <w:r w:rsidR="0049224C">
      <w:rPr>
        <w:sz w:val="28"/>
        <w:szCs w:val="28"/>
      </w:rPr>
      <w:tab/>
    </w:r>
    <w:r w:rsidR="0049224C" w:rsidRPr="0049224C">
      <w:rPr>
        <w:szCs w:val="24"/>
      </w:rPr>
      <w:t>Aotearoa Disability Law</w:t>
    </w:r>
    <w:r w:rsidR="0049224C">
      <w:rPr>
        <w:szCs w:val="24"/>
      </w:rPr>
      <w:br/>
    </w:r>
    <w:r w:rsidR="0049224C" w:rsidRPr="0049224C">
      <w:rPr>
        <w:szCs w:val="24"/>
      </w:rPr>
      <w:t>PO Box 43-201</w:t>
    </w:r>
    <w:r w:rsidR="0049224C" w:rsidRPr="0049224C">
      <w:rPr>
        <w:szCs w:val="24"/>
      </w:rPr>
      <w:t>,</w:t>
    </w:r>
    <w:r w:rsidR="0049224C" w:rsidRPr="0049224C">
      <w:rPr>
        <w:szCs w:val="24"/>
      </w:rPr>
      <w:t xml:space="preserve"> Mangere</w:t>
    </w:r>
    <w:r w:rsidR="0049224C" w:rsidRPr="0049224C">
      <w:rPr>
        <w:szCs w:val="24"/>
      </w:rPr>
      <w:t xml:space="preserve">, </w:t>
    </w:r>
    <w:r w:rsidR="0049224C" w:rsidRPr="0049224C">
      <w:rPr>
        <w:szCs w:val="24"/>
      </w:rPr>
      <w:t>Auckland </w:t>
    </w:r>
    <w:r w:rsidR="0049224C">
      <w:rPr>
        <w:szCs w:val="24"/>
      </w:rPr>
      <w:br/>
    </w:r>
    <w:hyperlink r:id="rId2" w:history="1">
      <w:r w:rsidR="0049224C" w:rsidRPr="00F0391F">
        <w:rPr>
          <w:rStyle w:val="Hyperlink"/>
          <w:szCs w:val="24"/>
        </w:rPr>
        <w:t>www.aotearoadisablitylaw.org.nz</w:t>
      </w:r>
    </w:hyperlink>
  </w:p>
  <w:p w14:paraId="106D165A" w14:textId="1C6C1FD8" w:rsidR="0049224C" w:rsidRDefault="0049224C" w:rsidP="0049224C">
    <w:pPr>
      <w:pStyle w:val="Header"/>
      <w:jc w:val="right"/>
      <w:rPr>
        <w:szCs w:val="24"/>
      </w:rPr>
    </w:pPr>
    <w:r w:rsidRPr="0049224C">
      <w:rPr>
        <w:b/>
        <w:bCs/>
        <w:color w:val="EE0000"/>
        <w:szCs w:val="24"/>
      </w:rPr>
      <w:t>Tel:</w:t>
    </w:r>
    <w:r w:rsidRPr="0049224C">
      <w:rPr>
        <w:color w:val="EE0000"/>
        <w:szCs w:val="24"/>
      </w:rPr>
      <w:t xml:space="preserve"> </w:t>
    </w:r>
    <w:r>
      <w:rPr>
        <w:szCs w:val="24"/>
      </w:rPr>
      <w:t>09 257 5140</w:t>
    </w:r>
    <w:r>
      <w:rPr>
        <w:szCs w:val="24"/>
      </w:rPr>
      <w:br/>
    </w:r>
    <w:r w:rsidRPr="0049224C">
      <w:rPr>
        <w:b/>
        <w:bCs/>
        <w:color w:val="EE0000"/>
        <w:szCs w:val="24"/>
      </w:rPr>
      <w:t>Text only</w:t>
    </w:r>
    <w:r w:rsidRPr="0049224C">
      <w:rPr>
        <w:b/>
        <w:bCs/>
        <w:color w:val="EE0000"/>
        <w:szCs w:val="24"/>
      </w:rPr>
      <w:t>:</w:t>
    </w:r>
    <w:r w:rsidRPr="0049224C">
      <w:rPr>
        <w:color w:val="EE0000"/>
        <w:szCs w:val="24"/>
      </w:rPr>
      <w:t xml:space="preserve"> </w:t>
    </w:r>
    <w:hyperlink r:id="rId3" w:tgtFrame="_blank" w:history="1">
      <w:r w:rsidRPr="0049224C">
        <w:rPr>
          <w:rStyle w:val="Hyperlink"/>
          <w:szCs w:val="24"/>
        </w:rPr>
        <w:t>0274 575 140</w:t>
      </w:r>
    </w:hyperlink>
    <w:r>
      <w:rPr>
        <w:szCs w:val="24"/>
      </w:rPr>
      <w:br/>
    </w:r>
    <w:r w:rsidRPr="0049224C">
      <w:rPr>
        <w:b/>
        <w:bCs/>
        <w:color w:val="EE0000"/>
        <w:szCs w:val="24"/>
      </w:rPr>
      <w:t>Email:</w:t>
    </w:r>
    <w:r w:rsidRPr="0049224C">
      <w:rPr>
        <w:color w:val="EE0000"/>
        <w:szCs w:val="24"/>
      </w:rPr>
      <w:t xml:space="preserve"> </w:t>
    </w:r>
    <w:hyperlink r:id="rId4" w:history="1">
      <w:r w:rsidRPr="00F0391F">
        <w:rPr>
          <w:rStyle w:val="Hyperlink"/>
          <w:szCs w:val="24"/>
        </w:rPr>
        <w:t>info@adl.org.nz</w:t>
      </w:r>
    </w:hyperlink>
  </w:p>
  <w:p w14:paraId="72E5B6AA" w14:textId="77777777" w:rsidR="0049224C" w:rsidRPr="0049224C" w:rsidRDefault="0049224C" w:rsidP="0049224C">
    <w:pPr>
      <w:pStyle w:val="Header"/>
      <w:spacing w:before="240"/>
      <w:jc w:val="right"/>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48E6"/>
    <w:multiLevelType w:val="hybridMultilevel"/>
    <w:tmpl w:val="E7E249C6"/>
    <w:lvl w:ilvl="0" w:tplc="92D2187E">
      <w:start w:val="1"/>
      <w:numFmt w:val="bullet"/>
      <w:lvlText w:val="•"/>
      <w:lvlJc w:val="left"/>
      <w:pPr>
        <w:tabs>
          <w:tab w:val="num" w:pos="720"/>
        </w:tabs>
        <w:ind w:left="720" w:hanging="360"/>
      </w:pPr>
      <w:rPr>
        <w:rFonts w:ascii="Arial" w:hAnsi="Arial" w:hint="default"/>
      </w:rPr>
    </w:lvl>
    <w:lvl w:ilvl="1" w:tplc="1C60023C" w:tentative="1">
      <w:start w:val="1"/>
      <w:numFmt w:val="bullet"/>
      <w:lvlText w:val="•"/>
      <w:lvlJc w:val="left"/>
      <w:pPr>
        <w:tabs>
          <w:tab w:val="num" w:pos="1440"/>
        </w:tabs>
        <w:ind w:left="1440" w:hanging="360"/>
      </w:pPr>
      <w:rPr>
        <w:rFonts w:ascii="Arial" w:hAnsi="Arial" w:hint="default"/>
      </w:rPr>
    </w:lvl>
    <w:lvl w:ilvl="2" w:tplc="2A66022E" w:tentative="1">
      <w:start w:val="1"/>
      <w:numFmt w:val="bullet"/>
      <w:lvlText w:val="•"/>
      <w:lvlJc w:val="left"/>
      <w:pPr>
        <w:tabs>
          <w:tab w:val="num" w:pos="2160"/>
        </w:tabs>
        <w:ind w:left="2160" w:hanging="360"/>
      </w:pPr>
      <w:rPr>
        <w:rFonts w:ascii="Arial" w:hAnsi="Arial" w:hint="default"/>
      </w:rPr>
    </w:lvl>
    <w:lvl w:ilvl="3" w:tplc="EB3C0B4A" w:tentative="1">
      <w:start w:val="1"/>
      <w:numFmt w:val="bullet"/>
      <w:lvlText w:val="•"/>
      <w:lvlJc w:val="left"/>
      <w:pPr>
        <w:tabs>
          <w:tab w:val="num" w:pos="2880"/>
        </w:tabs>
        <w:ind w:left="2880" w:hanging="360"/>
      </w:pPr>
      <w:rPr>
        <w:rFonts w:ascii="Arial" w:hAnsi="Arial" w:hint="default"/>
      </w:rPr>
    </w:lvl>
    <w:lvl w:ilvl="4" w:tplc="7AD23668" w:tentative="1">
      <w:start w:val="1"/>
      <w:numFmt w:val="bullet"/>
      <w:lvlText w:val="•"/>
      <w:lvlJc w:val="left"/>
      <w:pPr>
        <w:tabs>
          <w:tab w:val="num" w:pos="3600"/>
        </w:tabs>
        <w:ind w:left="3600" w:hanging="360"/>
      </w:pPr>
      <w:rPr>
        <w:rFonts w:ascii="Arial" w:hAnsi="Arial" w:hint="default"/>
      </w:rPr>
    </w:lvl>
    <w:lvl w:ilvl="5" w:tplc="A7B2DF84" w:tentative="1">
      <w:start w:val="1"/>
      <w:numFmt w:val="bullet"/>
      <w:lvlText w:val="•"/>
      <w:lvlJc w:val="left"/>
      <w:pPr>
        <w:tabs>
          <w:tab w:val="num" w:pos="4320"/>
        </w:tabs>
        <w:ind w:left="4320" w:hanging="360"/>
      </w:pPr>
      <w:rPr>
        <w:rFonts w:ascii="Arial" w:hAnsi="Arial" w:hint="default"/>
      </w:rPr>
    </w:lvl>
    <w:lvl w:ilvl="6" w:tplc="5D0626CA" w:tentative="1">
      <w:start w:val="1"/>
      <w:numFmt w:val="bullet"/>
      <w:lvlText w:val="•"/>
      <w:lvlJc w:val="left"/>
      <w:pPr>
        <w:tabs>
          <w:tab w:val="num" w:pos="5040"/>
        </w:tabs>
        <w:ind w:left="5040" w:hanging="360"/>
      </w:pPr>
      <w:rPr>
        <w:rFonts w:ascii="Arial" w:hAnsi="Arial" w:hint="default"/>
      </w:rPr>
    </w:lvl>
    <w:lvl w:ilvl="7" w:tplc="9418EFEC" w:tentative="1">
      <w:start w:val="1"/>
      <w:numFmt w:val="bullet"/>
      <w:lvlText w:val="•"/>
      <w:lvlJc w:val="left"/>
      <w:pPr>
        <w:tabs>
          <w:tab w:val="num" w:pos="5760"/>
        </w:tabs>
        <w:ind w:left="5760" w:hanging="360"/>
      </w:pPr>
      <w:rPr>
        <w:rFonts w:ascii="Arial" w:hAnsi="Arial" w:hint="default"/>
      </w:rPr>
    </w:lvl>
    <w:lvl w:ilvl="8" w:tplc="E480B35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8D86909"/>
    <w:multiLevelType w:val="hybridMultilevel"/>
    <w:tmpl w:val="BC3C028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6CC3B56"/>
    <w:multiLevelType w:val="hybridMultilevel"/>
    <w:tmpl w:val="1C6836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A01374"/>
    <w:multiLevelType w:val="hybridMultilevel"/>
    <w:tmpl w:val="1A92A9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7E721B7"/>
    <w:multiLevelType w:val="hybridMultilevel"/>
    <w:tmpl w:val="DA00ADE6"/>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1D1434DE"/>
    <w:multiLevelType w:val="hybridMultilevel"/>
    <w:tmpl w:val="DC5AEFB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F566C2E"/>
    <w:multiLevelType w:val="hybridMultilevel"/>
    <w:tmpl w:val="3196B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C56FC7"/>
    <w:multiLevelType w:val="hybridMultilevel"/>
    <w:tmpl w:val="E8DCEF8C"/>
    <w:lvl w:ilvl="0" w:tplc="600E806C">
      <w:start w:val="5"/>
      <w:numFmt w:val="bullet"/>
      <w:pStyle w:val="ListBulleted"/>
      <w:lvlText w:val=""/>
      <w:lvlJc w:val="left"/>
      <w:pPr>
        <w:ind w:left="360" w:hanging="360"/>
      </w:pPr>
      <w:rPr>
        <w:rFonts w:ascii="Symbol" w:eastAsiaTheme="minorHAnsi" w:hAnsi="Symbol" w:cstheme="minorBidi"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 w15:restartNumberingAfterBreak="0">
    <w:nsid w:val="20E10FCA"/>
    <w:multiLevelType w:val="hybridMultilevel"/>
    <w:tmpl w:val="8D186C86"/>
    <w:lvl w:ilvl="0" w:tplc="DDE8BC12">
      <w:start w:val="1"/>
      <w:numFmt w:val="decimal"/>
      <w:pStyle w:val="ListNumbered"/>
      <w:lvlText w:val="%1)"/>
      <w:lvlJc w:val="left"/>
      <w:pPr>
        <w:ind w:left="786"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241B55C6"/>
    <w:multiLevelType w:val="hybridMultilevel"/>
    <w:tmpl w:val="245C262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24DF315E"/>
    <w:multiLevelType w:val="hybridMultilevel"/>
    <w:tmpl w:val="2B6A0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112C19"/>
    <w:multiLevelType w:val="hybridMultilevel"/>
    <w:tmpl w:val="F75AB9E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31901F9B"/>
    <w:multiLevelType w:val="hybridMultilevel"/>
    <w:tmpl w:val="8A36ACB2"/>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3" w15:restartNumberingAfterBreak="0">
    <w:nsid w:val="34137FA0"/>
    <w:multiLevelType w:val="hybridMultilevel"/>
    <w:tmpl w:val="FA204B06"/>
    <w:lvl w:ilvl="0" w:tplc="9E8AA294">
      <w:start w:val="1"/>
      <w:numFmt w:val="bullet"/>
      <w:lvlText w:val=""/>
      <w:lvlJc w:val="left"/>
      <w:pPr>
        <w:tabs>
          <w:tab w:val="num" w:pos="720"/>
        </w:tabs>
        <w:ind w:left="720" w:hanging="360"/>
      </w:pPr>
      <w:rPr>
        <w:rFonts w:ascii="Wingdings" w:hAnsi="Wingdings" w:hint="default"/>
      </w:rPr>
    </w:lvl>
    <w:lvl w:ilvl="1" w:tplc="8D047420" w:tentative="1">
      <w:start w:val="1"/>
      <w:numFmt w:val="bullet"/>
      <w:lvlText w:val=""/>
      <w:lvlJc w:val="left"/>
      <w:pPr>
        <w:tabs>
          <w:tab w:val="num" w:pos="1440"/>
        </w:tabs>
        <w:ind w:left="1440" w:hanging="360"/>
      </w:pPr>
      <w:rPr>
        <w:rFonts w:ascii="Wingdings" w:hAnsi="Wingdings" w:hint="default"/>
      </w:rPr>
    </w:lvl>
    <w:lvl w:ilvl="2" w:tplc="8FEE163E" w:tentative="1">
      <w:start w:val="1"/>
      <w:numFmt w:val="bullet"/>
      <w:lvlText w:val=""/>
      <w:lvlJc w:val="left"/>
      <w:pPr>
        <w:tabs>
          <w:tab w:val="num" w:pos="2160"/>
        </w:tabs>
        <w:ind w:left="2160" w:hanging="360"/>
      </w:pPr>
      <w:rPr>
        <w:rFonts w:ascii="Wingdings" w:hAnsi="Wingdings" w:hint="default"/>
      </w:rPr>
    </w:lvl>
    <w:lvl w:ilvl="3" w:tplc="C6288330" w:tentative="1">
      <w:start w:val="1"/>
      <w:numFmt w:val="bullet"/>
      <w:lvlText w:val=""/>
      <w:lvlJc w:val="left"/>
      <w:pPr>
        <w:tabs>
          <w:tab w:val="num" w:pos="2880"/>
        </w:tabs>
        <w:ind w:left="2880" w:hanging="360"/>
      </w:pPr>
      <w:rPr>
        <w:rFonts w:ascii="Wingdings" w:hAnsi="Wingdings" w:hint="default"/>
      </w:rPr>
    </w:lvl>
    <w:lvl w:ilvl="4" w:tplc="498AA0D0" w:tentative="1">
      <w:start w:val="1"/>
      <w:numFmt w:val="bullet"/>
      <w:lvlText w:val=""/>
      <w:lvlJc w:val="left"/>
      <w:pPr>
        <w:tabs>
          <w:tab w:val="num" w:pos="3600"/>
        </w:tabs>
        <w:ind w:left="3600" w:hanging="360"/>
      </w:pPr>
      <w:rPr>
        <w:rFonts w:ascii="Wingdings" w:hAnsi="Wingdings" w:hint="default"/>
      </w:rPr>
    </w:lvl>
    <w:lvl w:ilvl="5" w:tplc="E5F6CAC8" w:tentative="1">
      <w:start w:val="1"/>
      <w:numFmt w:val="bullet"/>
      <w:lvlText w:val=""/>
      <w:lvlJc w:val="left"/>
      <w:pPr>
        <w:tabs>
          <w:tab w:val="num" w:pos="4320"/>
        </w:tabs>
        <w:ind w:left="4320" w:hanging="360"/>
      </w:pPr>
      <w:rPr>
        <w:rFonts w:ascii="Wingdings" w:hAnsi="Wingdings" w:hint="default"/>
      </w:rPr>
    </w:lvl>
    <w:lvl w:ilvl="6" w:tplc="04DE1A0C" w:tentative="1">
      <w:start w:val="1"/>
      <w:numFmt w:val="bullet"/>
      <w:lvlText w:val=""/>
      <w:lvlJc w:val="left"/>
      <w:pPr>
        <w:tabs>
          <w:tab w:val="num" w:pos="5040"/>
        </w:tabs>
        <w:ind w:left="5040" w:hanging="360"/>
      </w:pPr>
      <w:rPr>
        <w:rFonts w:ascii="Wingdings" w:hAnsi="Wingdings" w:hint="default"/>
      </w:rPr>
    </w:lvl>
    <w:lvl w:ilvl="7" w:tplc="B93A7A22" w:tentative="1">
      <w:start w:val="1"/>
      <w:numFmt w:val="bullet"/>
      <w:lvlText w:val=""/>
      <w:lvlJc w:val="left"/>
      <w:pPr>
        <w:tabs>
          <w:tab w:val="num" w:pos="5760"/>
        </w:tabs>
        <w:ind w:left="5760" w:hanging="360"/>
      </w:pPr>
      <w:rPr>
        <w:rFonts w:ascii="Wingdings" w:hAnsi="Wingdings" w:hint="default"/>
      </w:rPr>
    </w:lvl>
    <w:lvl w:ilvl="8" w:tplc="F6FE2B7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A137D8"/>
    <w:multiLevelType w:val="hybridMultilevel"/>
    <w:tmpl w:val="3FCAAC9C"/>
    <w:lvl w:ilvl="0" w:tplc="88049926">
      <w:start w:val="1"/>
      <w:numFmt w:val="bullet"/>
      <w:lvlText w:val=" "/>
      <w:lvlJc w:val="left"/>
      <w:pPr>
        <w:tabs>
          <w:tab w:val="num" w:pos="720"/>
        </w:tabs>
        <w:ind w:left="720" w:hanging="360"/>
      </w:pPr>
      <w:rPr>
        <w:rFonts w:ascii="Calibri" w:hAnsi="Calibri" w:hint="default"/>
      </w:rPr>
    </w:lvl>
    <w:lvl w:ilvl="1" w:tplc="DF264C48">
      <w:numFmt w:val="bullet"/>
      <w:lvlText w:val=""/>
      <w:lvlJc w:val="left"/>
      <w:pPr>
        <w:tabs>
          <w:tab w:val="num" w:pos="1440"/>
        </w:tabs>
        <w:ind w:left="1440" w:hanging="360"/>
      </w:pPr>
      <w:rPr>
        <w:rFonts w:ascii="Wingdings" w:hAnsi="Wingdings" w:hint="default"/>
      </w:rPr>
    </w:lvl>
    <w:lvl w:ilvl="2" w:tplc="CE9840A6" w:tentative="1">
      <w:start w:val="1"/>
      <w:numFmt w:val="bullet"/>
      <w:lvlText w:val=" "/>
      <w:lvlJc w:val="left"/>
      <w:pPr>
        <w:tabs>
          <w:tab w:val="num" w:pos="2160"/>
        </w:tabs>
        <w:ind w:left="2160" w:hanging="360"/>
      </w:pPr>
      <w:rPr>
        <w:rFonts w:ascii="Calibri" w:hAnsi="Calibri" w:hint="default"/>
      </w:rPr>
    </w:lvl>
    <w:lvl w:ilvl="3" w:tplc="94F8976A" w:tentative="1">
      <w:start w:val="1"/>
      <w:numFmt w:val="bullet"/>
      <w:lvlText w:val=" "/>
      <w:lvlJc w:val="left"/>
      <w:pPr>
        <w:tabs>
          <w:tab w:val="num" w:pos="2880"/>
        </w:tabs>
        <w:ind w:left="2880" w:hanging="360"/>
      </w:pPr>
      <w:rPr>
        <w:rFonts w:ascii="Calibri" w:hAnsi="Calibri" w:hint="default"/>
      </w:rPr>
    </w:lvl>
    <w:lvl w:ilvl="4" w:tplc="538812FA" w:tentative="1">
      <w:start w:val="1"/>
      <w:numFmt w:val="bullet"/>
      <w:lvlText w:val=" "/>
      <w:lvlJc w:val="left"/>
      <w:pPr>
        <w:tabs>
          <w:tab w:val="num" w:pos="3600"/>
        </w:tabs>
        <w:ind w:left="3600" w:hanging="360"/>
      </w:pPr>
      <w:rPr>
        <w:rFonts w:ascii="Calibri" w:hAnsi="Calibri" w:hint="default"/>
      </w:rPr>
    </w:lvl>
    <w:lvl w:ilvl="5" w:tplc="6C0471BE" w:tentative="1">
      <w:start w:val="1"/>
      <w:numFmt w:val="bullet"/>
      <w:lvlText w:val=" "/>
      <w:lvlJc w:val="left"/>
      <w:pPr>
        <w:tabs>
          <w:tab w:val="num" w:pos="4320"/>
        </w:tabs>
        <w:ind w:left="4320" w:hanging="360"/>
      </w:pPr>
      <w:rPr>
        <w:rFonts w:ascii="Calibri" w:hAnsi="Calibri" w:hint="default"/>
      </w:rPr>
    </w:lvl>
    <w:lvl w:ilvl="6" w:tplc="05000D38" w:tentative="1">
      <w:start w:val="1"/>
      <w:numFmt w:val="bullet"/>
      <w:lvlText w:val=" "/>
      <w:lvlJc w:val="left"/>
      <w:pPr>
        <w:tabs>
          <w:tab w:val="num" w:pos="5040"/>
        </w:tabs>
        <w:ind w:left="5040" w:hanging="360"/>
      </w:pPr>
      <w:rPr>
        <w:rFonts w:ascii="Calibri" w:hAnsi="Calibri" w:hint="default"/>
      </w:rPr>
    </w:lvl>
    <w:lvl w:ilvl="7" w:tplc="849CD1EC" w:tentative="1">
      <w:start w:val="1"/>
      <w:numFmt w:val="bullet"/>
      <w:lvlText w:val=" "/>
      <w:lvlJc w:val="left"/>
      <w:pPr>
        <w:tabs>
          <w:tab w:val="num" w:pos="5760"/>
        </w:tabs>
        <w:ind w:left="5760" w:hanging="360"/>
      </w:pPr>
      <w:rPr>
        <w:rFonts w:ascii="Calibri" w:hAnsi="Calibri" w:hint="default"/>
      </w:rPr>
    </w:lvl>
    <w:lvl w:ilvl="8" w:tplc="ED4639D2" w:tentative="1">
      <w:start w:val="1"/>
      <w:numFmt w:val="bullet"/>
      <w:lvlText w:val=" "/>
      <w:lvlJc w:val="left"/>
      <w:pPr>
        <w:tabs>
          <w:tab w:val="num" w:pos="6480"/>
        </w:tabs>
        <w:ind w:left="6480" w:hanging="360"/>
      </w:pPr>
      <w:rPr>
        <w:rFonts w:ascii="Calibri" w:hAnsi="Calibri" w:hint="default"/>
      </w:rPr>
    </w:lvl>
  </w:abstractNum>
  <w:abstractNum w:abstractNumId="15" w15:restartNumberingAfterBreak="0">
    <w:nsid w:val="3D941C11"/>
    <w:multiLevelType w:val="hybridMultilevel"/>
    <w:tmpl w:val="E908943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40E712BE"/>
    <w:multiLevelType w:val="hybridMultilevel"/>
    <w:tmpl w:val="4FB8CF94"/>
    <w:lvl w:ilvl="0" w:tplc="14090001">
      <w:start w:val="1"/>
      <w:numFmt w:val="bullet"/>
      <w:lvlText w:val=""/>
      <w:lvlJc w:val="left"/>
      <w:pPr>
        <w:ind w:left="720" w:hanging="360"/>
      </w:pPr>
      <w:rPr>
        <w:rFonts w:ascii="Symbol" w:hAnsi="Symbol" w:hint="default"/>
      </w:rPr>
    </w:lvl>
    <w:lvl w:ilvl="1" w:tplc="3A72ADD2">
      <w:numFmt w:val="bullet"/>
      <w:lvlText w:val="•"/>
      <w:lvlJc w:val="left"/>
      <w:pPr>
        <w:ind w:left="1800" w:hanging="720"/>
      </w:pPr>
      <w:rPr>
        <w:rFonts w:ascii="Calibri" w:eastAsia="Times New Roman" w:hAnsi="Calibri" w:cs="Times New Roman"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4192306E"/>
    <w:multiLevelType w:val="hybridMultilevel"/>
    <w:tmpl w:val="664A7BF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424937BA"/>
    <w:multiLevelType w:val="hybridMultilevel"/>
    <w:tmpl w:val="B70CEEE0"/>
    <w:lvl w:ilvl="0" w:tplc="C2E8BFAC">
      <w:start w:val="3"/>
      <w:numFmt w:val="bullet"/>
      <w:lvlText w:val=""/>
      <w:lvlJc w:val="left"/>
      <w:pPr>
        <w:ind w:left="720" w:hanging="360"/>
      </w:pPr>
      <w:rPr>
        <w:rFonts w:ascii="Symbol" w:eastAsiaTheme="minorHAnsi" w:hAnsi="Symbol"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449424F0"/>
    <w:multiLevelType w:val="hybridMultilevel"/>
    <w:tmpl w:val="6BBEC4B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46934655"/>
    <w:multiLevelType w:val="hybridMultilevel"/>
    <w:tmpl w:val="003A27BE"/>
    <w:lvl w:ilvl="0" w:tplc="07023454">
      <w:start w:val="1"/>
      <w:numFmt w:val="bullet"/>
      <w:lvlText w:val=" "/>
      <w:lvlJc w:val="left"/>
      <w:pPr>
        <w:tabs>
          <w:tab w:val="num" w:pos="720"/>
        </w:tabs>
        <w:ind w:left="720" w:hanging="360"/>
      </w:pPr>
      <w:rPr>
        <w:rFonts w:ascii="Calibri" w:hAnsi="Calibri" w:hint="default"/>
      </w:rPr>
    </w:lvl>
    <w:lvl w:ilvl="1" w:tplc="F0A6CC8E" w:tentative="1">
      <w:start w:val="1"/>
      <w:numFmt w:val="bullet"/>
      <w:lvlText w:val=" "/>
      <w:lvlJc w:val="left"/>
      <w:pPr>
        <w:tabs>
          <w:tab w:val="num" w:pos="1440"/>
        </w:tabs>
        <w:ind w:left="1440" w:hanging="360"/>
      </w:pPr>
      <w:rPr>
        <w:rFonts w:ascii="Calibri" w:hAnsi="Calibri" w:hint="default"/>
      </w:rPr>
    </w:lvl>
    <w:lvl w:ilvl="2" w:tplc="EF80C936" w:tentative="1">
      <w:start w:val="1"/>
      <w:numFmt w:val="bullet"/>
      <w:lvlText w:val=" "/>
      <w:lvlJc w:val="left"/>
      <w:pPr>
        <w:tabs>
          <w:tab w:val="num" w:pos="2160"/>
        </w:tabs>
        <w:ind w:left="2160" w:hanging="360"/>
      </w:pPr>
      <w:rPr>
        <w:rFonts w:ascii="Calibri" w:hAnsi="Calibri" w:hint="default"/>
      </w:rPr>
    </w:lvl>
    <w:lvl w:ilvl="3" w:tplc="C62625C6" w:tentative="1">
      <w:start w:val="1"/>
      <w:numFmt w:val="bullet"/>
      <w:lvlText w:val=" "/>
      <w:lvlJc w:val="left"/>
      <w:pPr>
        <w:tabs>
          <w:tab w:val="num" w:pos="2880"/>
        </w:tabs>
        <w:ind w:left="2880" w:hanging="360"/>
      </w:pPr>
      <w:rPr>
        <w:rFonts w:ascii="Calibri" w:hAnsi="Calibri" w:hint="default"/>
      </w:rPr>
    </w:lvl>
    <w:lvl w:ilvl="4" w:tplc="65167E64" w:tentative="1">
      <w:start w:val="1"/>
      <w:numFmt w:val="bullet"/>
      <w:lvlText w:val=" "/>
      <w:lvlJc w:val="left"/>
      <w:pPr>
        <w:tabs>
          <w:tab w:val="num" w:pos="3600"/>
        </w:tabs>
        <w:ind w:left="3600" w:hanging="360"/>
      </w:pPr>
      <w:rPr>
        <w:rFonts w:ascii="Calibri" w:hAnsi="Calibri" w:hint="default"/>
      </w:rPr>
    </w:lvl>
    <w:lvl w:ilvl="5" w:tplc="3D00764E" w:tentative="1">
      <w:start w:val="1"/>
      <w:numFmt w:val="bullet"/>
      <w:lvlText w:val=" "/>
      <w:lvlJc w:val="left"/>
      <w:pPr>
        <w:tabs>
          <w:tab w:val="num" w:pos="4320"/>
        </w:tabs>
        <w:ind w:left="4320" w:hanging="360"/>
      </w:pPr>
      <w:rPr>
        <w:rFonts w:ascii="Calibri" w:hAnsi="Calibri" w:hint="default"/>
      </w:rPr>
    </w:lvl>
    <w:lvl w:ilvl="6" w:tplc="ED16172A" w:tentative="1">
      <w:start w:val="1"/>
      <w:numFmt w:val="bullet"/>
      <w:lvlText w:val=" "/>
      <w:lvlJc w:val="left"/>
      <w:pPr>
        <w:tabs>
          <w:tab w:val="num" w:pos="5040"/>
        </w:tabs>
        <w:ind w:left="5040" w:hanging="360"/>
      </w:pPr>
      <w:rPr>
        <w:rFonts w:ascii="Calibri" w:hAnsi="Calibri" w:hint="default"/>
      </w:rPr>
    </w:lvl>
    <w:lvl w:ilvl="7" w:tplc="1374B63A" w:tentative="1">
      <w:start w:val="1"/>
      <w:numFmt w:val="bullet"/>
      <w:lvlText w:val=" "/>
      <w:lvlJc w:val="left"/>
      <w:pPr>
        <w:tabs>
          <w:tab w:val="num" w:pos="5760"/>
        </w:tabs>
        <w:ind w:left="5760" w:hanging="360"/>
      </w:pPr>
      <w:rPr>
        <w:rFonts w:ascii="Calibri" w:hAnsi="Calibri" w:hint="default"/>
      </w:rPr>
    </w:lvl>
    <w:lvl w:ilvl="8" w:tplc="8448336C" w:tentative="1">
      <w:start w:val="1"/>
      <w:numFmt w:val="bullet"/>
      <w:lvlText w:val=" "/>
      <w:lvlJc w:val="left"/>
      <w:pPr>
        <w:tabs>
          <w:tab w:val="num" w:pos="6480"/>
        </w:tabs>
        <w:ind w:left="6480" w:hanging="360"/>
      </w:pPr>
      <w:rPr>
        <w:rFonts w:ascii="Calibri" w:hAnsi="Calibri" w:hint="default"/>
      </w:rPr>
    </w:lvl>
  </w:abstractNum>
  <w:abstractNum w:abstractNumId="21" w15:restartNumberingAfterBreak="0">
    <w:nsid w:val="49841D04"/>
    <w:multiLevelType w:val="hybridMultilevel"/>
    <w:tmpl w:val="CEA8AC1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4DCE1FD0"/>
    <w:multiLevelType w:val="hybridMultilevel"/>
    <w:tmpl w:val="446C60A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15:restartNumberingAfterBreak="0">
    <w:nsid w:val="585747FA"/>
    <w:multiLevelType w:val="hybridMultilevel"/>
    <w:tmpl w:val="059217A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15:restartNumberingAfterBreak="0">
    <w:nsid w:val="595974E0"/>
    <w:multiLevelType w:val="hybridMultilevel"/>
    <w:tmpl w:val="FF48FEB8"/>
    <w:lvl w:ilvl="0" w:tplc="87D09FD4">
      <w:start w:val="1"/>
      <w:numFmt w:val="bullet"/>
      <w:lvlText w:val=""/>
      <w:lvlJc w:val="left"/>
      <w:pPr>
        <w:tabs>
          <w:tab w:val="num" w:pos="720"/>
        </w:tabs>
        <w:ind w:left="720" w:hanging="360"/>
      </w:pPr>
      <w:rPr>
        <w:rFonts w:ascii="Wingdings" w:hAnsi="Wingdings" w:hint="default"/>
      </w:rPr>
    </w:lvl>
    <w:lvl w:ilvl="1" w:tplc="11A2B896" w:tentative="1">
      <w:start w:val="1"/>
      <w:numFmt w:val="bullet"/>
      <w:lvlText w:val=""/>
      <w:lvlJc w:val="left"/>
      <w:pPr>
        <w:tabs>
          <w:tab w:val="num" w:pos="1440"/>
        </w:tabs>
        <w:ind w:left="1440" w:hanging="360"/>
      </w:pPr>
      <w:rPr>
        <w:rFonts w:ascii="Wingdings" w:hAnsi="Wingdings" w:hint="default"/>
      </w:rPr>
    </w:lvl>
    <w:lvl w:ilvl="2" w:tplc="D6BCABB0" w:tentative="1">
      <w:start w:val="1"/>
      <w:numFmt w:val="bullet"/>
      <w:lvlText w:val=""/>
      <w:lvlJc w:val="left"/>
      <w:pPr>
        <w:tabs>
          <w:tab w:val="num" w:pos="2160"/>
        </w:tabs>
        <w:ind w:left="2160" w:hanging="360"/>
      </w:pPr>
      <w:rPr>
        <w:rFonts w:ascii="Wingdings" w:hAnsi="Wingdings" w:hint="default"/>
      </w:rPr>
    </w:lvl>
    <w:lvl w:ilvl="3" w:tplc="2438EF00" w:tentative="1">
      <w:start w:val="1"/>
      <w:numFmt w:val="bullet"/>
      <w:lvlText w:val=""/>
      <w:lvlJc w:val="left"/>
      <w:pPr>
        <w:tabs>
          <w:tab w:val="num" w:pos="2880"/>
        </w:tabs>
        <w:ind w:left="2880" w:hanging="360"/>
      </w:pPr>
      <w:rPr>
        <w:rFonts w:ascii="Wingdings" w:hAnsi="Wingdings" w:hint="default"/>
      </w:rPr>
    </w:lvl>
    <w:lvl w:ilvl="4" w:tplc="7DCEB4A6" w:tentative="1">
      <w:start w:val="1"/>
      <w:numFmt w:val="bullet"/>
      <w:lvlText w:val=""/>
      <w:lvlJc w:val="left"/>
      <w:pPr>
        <w:tabs>
          <w:tab w:val="num" w:pos="3600"/>
        </w:tabs>
        <w:ind w:left="3600" w:hanging="360"/>
      </w:pPr>
      <w:rPr>
        <w:rFonts w:ascii="Wingdings" w:hAnsi="Wingdings" w:hint="default"/>
      </w:rPr>
    </w:lvl>
    <w:lvl w:ilvl="5" w:tplc="D78E1522" w:tentative="1">
      <w:start w:val="1"/>
      <w:numFmt w:val="bullet"/>
      <w:lvlText w:val=""/>
      <w:lvlJc w:val="left"/>
      <w:pPr>
        <w:tabs>
          <w:tab w:val="num" w:pos="4320"/>
        </w:tabs>
        <w:ind w:left="4320" w:hanging="360"/>
      </w:pPr>
      <w:rPr>
        <w:rFonts w:ascii="Wingdings" w:hAnsi="Wingdings" w:hint="default"/>
      </w:rPr>
    </w:lvl>
    <w:lvl w:ilvl="6" w:tplc="21066F18" w:tentative="1">
      <w:start w:val="1"/>
      <w:numFmt w:val="bullet"/>
      <w:lvlText w:val=""/>
      <w:lvlJc w:val="left"/>
      <w:pPr>
        <w:tabs>
          <w:tab w:val="num" w:pos="5040"/>
        </w:tabs>
        <w:ind w:left="5040" w:hanging="360"/>
      </w:pPr>
      <w:rPr>
        <w:rFonts w:ascii="Wingdings" w:hAnsi="Wingdings" w:hint="default"/>
      </w:rPr>
    </w:lvl>
    <w:lvl w:ilvl="7" w:tplc="5AC00420" w:tentative="1">
      <w:start w:val="1"/>
      <w:numFmt w:val="bullet"/>
      <w:lvlText w:val=""/>
      <w:lvlJc w:val="left"/>
      <w:pPr>
        <w:tabs>
          <w:tab w:val="num" w:pos="5760"/>
        </w:tabs>
        <w:ind w:left="5760" w:hanging="360"/>
      </w:pPr>
      <w:rPr>
        <w:rFonts w:ascii="Wingdings" w:hAnsi="Wingdings" w:hint="default"/>
      </w:rPr>
    </w:lvl>
    <w:lvl w:ilvl="8" w:tplc="A34E80E0"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013176"/>
    <w:multiLevelType w:val="hybridMultilevel"/>
    <w:tmpl w:val="6F42C0D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67771591"/>
    <w:multiLevelType w:val="hybridMultilevel"/>
    <w:tmpl w:val="FA76465A"/>
    <w:lvl w:ilvl="0" w:tplc="62665810">
      <w:start w:val="1"/>
      <w:numFmt w:val="bullet"/>
      <w:lvlText w:val=""/>
      <w:lvlJc w:val="left"/>
      <w:pPr>
        <w:tabs>
          <w:tab w:val="num" w:pos="720"/>
        </w:tabs>
        <w:ind w:left="720" w:hanging="360"/>
      </w:pPr>
      <w:rPr>
        <w:rFonts w:ascii="Wingdings" w:hAnsi="Wingdings" w:hint="default"/>
      </w:rPr>
    </w:lvl>
    <w:lvl w:ilvl="1" w:tplc="E1C626F8" w:tentative="1">
      <w:start w:val="1"/>
      <w:numFmt w:val="bullet"/>
      <w:lvlText w:val=""/>
      <w:lvlJc w:val="left"/>
      <w:pPr>
        <w:tabs>
          <w:tab w:val="num" w:pos="1440"/>
        </w:tabs>
        <w:ind w:left="1440" w:hanging="360"/>
      </w:pPr>
      <w:rPr>
        <w:rFonts w:ascii="Wingdings" w:hAnsi="Wingdings" w:hint="default"/>
      </w:rPr>
    </w:lvl>
    <w:lvl w:ilvl="2" w:tplc="7DA229A4" w:tentative="1">
      <w:start w:val="1"/>
      <w:numFmt w:val="bullet"/>
      <w:lvlText w:val=""/>
      <w:lvlJc w:val="left"/>
      <w:pPr>
        <w:tabs>
          <w:tab w:val="num" w:pos="2160"/>
        </w:tabs>
        <w:ind w:left="2160" w:hanging="360"/>
      </w:pPr>
      <w:rPr>
        <w:rFonts w:ascii="Wingdings" w:hAnsi="Wingdings" w:hint="default"/>
      </w:rPr>
    </w:lvl>
    <w:lvl w:ilvl="3" w:tplc="E20EE0C2" w:tentative="1">
      <w:start w:val="1"/>
      <w:numFmt w:val="bullet"/>
      <w:lvlText w:val=""/>
      <w:lvlJc w:val="left"/>
      <w:pPr>
        <w:tabs>
          <w:tab w:val="num" w:pos="2880"/>
        </w:tabs>
        <w:ind w:left="2880" w:hanging="360"/>
      </w:pPr>
      <w:rPr>
        <w:rFonts w:ascii="Wingdings" w:hAnsi="Wingdings" w:hint="default"/>
      </w:rPr>
    </w:lvl>
    <w:lvl w:ilvl="4" w:tplc="F76C8858" w:tentative="1">
      <w:start w:val="1"/>
      <w:numFmt w:val="bullet"/>
      <w:lvlText w:val=""/>
      <w:lvlJc w:val="left"/>
      <w:pPr>
        <w:tabs>
          <w:tab w:val="num" w:pos="3600"/>
        </w:tabs>
        <w:ind w:left="3600" w:hanging="360"/>
      </w:pPr>
      <w:rPr>
        <w:rFonts w:ascii="Wingdings" w:hAnsi="Wingdings" w:hint="default"/>
      </w:rPr>
    </w:lvl>
    <w:lvl w:ilvl="5" w:tplc="4358D408" w:tentative="1">
      <w:start w:val="1"/>
      <w:numFmt w:val="bullet"/>
      <w:lvlText w:val=""/>
      <w:lvlJc w:val="left"/>
      <w:pPr>
        <w:tabs>
          <w:tab w:val="num" w:pos="4320"/>
        </w:tabs>
        <w:ind w:left="4320" w:hanging="360"/>
      </w:pPr>
      <w:rPr>
        <w:rFonts w:ascii="Wingdings" w:hAnsi="Wingdings" w:hint="default"/>
      </w:rPr>
    </w:lvl>
    <w:lvl w:ilvl="6" w:tplc="C792D53C" w:tentative="1">
      <w:start w:val="1"/>
      <w:numFmt w:val="bullet"/>
      <w:lvlText w:val=""/>
      <w:lvlJc w:val="left"/>
      <w:pPr>
        <w:tabs>
          <w:tab w:val="num" w:pos="5040"/>
        </w:tabs>
        <w:ind w:left="5040" w:hanging="360"/>
      </w:pPr>
      <w:rPr>
        <w:rFonts w:ascii="Wingdings" w:hAnsi="Wingdings" w:hint="default"/>
      </w:rPr>
    </w:lvl>
    <w:lvl w:ilvl="7" w:tplc="E45EAD2E" w:tentative="1">
      <w:start w:val="1"/>
      <w:numFmt w:val="bullet"/>
      <w:lvlText w:val=""/>
      <w:lvlJc w:val="left"/>
      <w:pPr>
        <w:tabs>
          <w:tab w:val="num" w:pos="5760"/>
        </w:tabs>
        <w:ind w:left="5760" w:hanging="360"/>
      </w:pPr>
      <w:rPr>
        <w:rFonts w:ascii="Wingdings" w:hAnsi="Wingdings" w:hint="default"/>
      </w:rPr>
    </w:lvl>
    <w:lvl w:ilvl="8" w:tplc="4998AEC0"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7A318ED"/>
    <w:multiLevelType w:val="hybridMultilevel"/>
    <w:tmpl w:val="D40C6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B2105F"/>
    <w:multiLevelType w:val="hybridMultilevel"/>
    <w:tmpl w:val="6854EDA6"/>
    <w:lvl w:ilvl="0" w:tplc="897A8800">
      <w:start w:val="1"/>
      <w:numFmt w:val="bullet"/>
      <w:lvlText w:val=" "/>
      <w:lvlJc w:val="left"/>
      <w:pPr>
        <w:tabs>
          <w:tab w:val="num" w:pos="720"/>
        </w:tabs>
        <w:ind w:left="720" w:hanging="360"/>
      </w:pPr>
      <w:rPr>
        <w:rFonts w:ascii="Calibri" w:hAnsi="Calibri" w:hint="default"/>
      </w:rPr>
    </w:lvl>
    <w:lvl w:ilvl="1" w:tplc="0CF6AF4C" w:tentative="1">
      <w:start w:val="1"/>
      <w:numFmt w:val="bullet"/>
      <w:lvlText w:val=" "/>
      <w:lvlJc w:val="left"/>
      <w:pPr>
        <w:tabs>
          <w:tab w:val="num" w:pos="1440"/>
        </w:tabs>
        <w:ind w:left="1440" w:hanging="360"/>
      </w:pPr>
      <w:rPr>
        <w:rFonts w:ascii="Calibri" w:hAnsi="Calibri" w:hint="default"/>
      </w:rPr>
    </w:lvl>
    <w:lvl w:ilvl="2" w:tplc="9A4A8CEE" w:tentative="1">
      <w:start w:val="1"/>
      <w:numFmt w:val="bullet"/>
      <w:lvlText w:val=" "/>
      <w:lvlJc w:val="left"/>
      <w:pPr>
        <w:tabs>
          <w:tab w:val="num" w:pos="2160"/>
        </w:tabs>
        <w:ind w:left="2160" w:hanging="360"/>
      </w:pPr>
      <w:rPr>
        <w:rFonts w:ascii="Calibri" w:hAnsi="Calibri" w:hint="default"/>
      </w:rPr>
    </w:lvl>
    <w:lvl w:ilvl="3" w:tplc="0374E9C2" w:tentative="1">
      <w:start w:val="1"/>
      <w:numFmt w:val="bullet"/>
      <w:lvlText w:val=" "/>
      <w:lvlJc w:val="left"/>
      <w:pPr>
        <w:tabs>
          <w:tab w:val="num" w:pos="2880"/>
        </w:tabs>
        <w:ind w:left="2880" w:hanging="360"/>
      </w:pPr>
      <w:rPr>
        <w:rFonts w:ascii="Calibri" w:hAnsi="Calibri" w:hint="default"/>
      </w:rPr>
    </w:lvl>
    <w:lvl w:ilvl="4" w:tplc="4CB4F33A" w:tentative="1">
      <w:start w:val="1"/>
      <w:numFmt w:val="bullet"/>
      <w:lvlText w:val=" "/>
      <w:lvlJc w:val="left"/>
      <w:pPr>
        <w:tabs>
          <w:tab w:val="num" w:pos="3600"/>
        </w:tabs>
        <w:ind w:left="3600" w:hanging="360"/>
      </w:pPr>
      <w:rPr>
        <w:rFonts w:ascii="Calibri" w:hAnsi="Calibri" w:hint="default"/>
      </w:rPr>
    </w:lvl>
    <w:lvl w:ilvl="5" w:tplc="9E92B0B4" w:tentative="1">
      <w:start w:val="1"/>
      <w:numFmt w:val="bullet"/>
      <w:lvlText w:val=" "/>
      <w:lvlJc w:val="left"/>
      <w:pPr>
        <w:tabs>
          <w:tab w:val="num" w:pos="4320"/>
        </w:tabs>
        <w:ind w:left="4320" w:hanging="360"/>
      </w:pPr>
      <w:rPr>
        <w:rFonts w:ascii="Calibri" w:hAnsi="Calibri" w:hint="default"/>
      </w:rPr>
    </w:lvl>
    <w:lvl w:ilvl="6" w:tplc="7A50AB92" w:tentative="1">
      <w:start w:val="1"/>
      <w:numFmt w:val="bullet"/>
      <w:lvlText w:val=" "/>
      <w:lvlJc w:val="left"/>
      <w:pPr>
        <w:tabs>
          <w:tab w:val="num" w:pos="5040"/>
        </w:tabs>
        <w:ind w:left="5040" w:hanging="360"/>
      </w:pPr>
      <w:rPr>
        <w:rFonts w:ascii="Calibri" w:hAnsi="Calibri" w:hint="default"/>
      </w:rPr>
    </w:lvl>
    <w:lvl w:ilvl="7" w:tplc="908827AE" w:tentative="1">
      <w:start w:val="1"/>
      <w:numFmt w:val="bullet"/>
      <w:lvlText w:val=" "/>
      <w:lvlJc w:val="left"/>
      <w:pPr>
        <w:tabs>
          <w:tab w:val="num" w:pos="5760"/>
        </w:tabs>
        <w:ind w:left="5760" w:hanging="360"/>
      </w:pPr>
      <w:rPr>
        <w:rFonts w:ascii="Calibri" w:hAnsi="Calibri" w:hint="default"/>
      </w:rPr>
    </w:lvl>
    <w:lvl w:ilvl="8" w:tplc="89ACFF78" w:tentative="1">
      <w:start w:val="1"/>
      <w:numFmt w:val="bullet"/>
      <w:lvlText w:val=" "/>
      <w:lvlJc w:val="left"/>
      <w:pPr>
        <w:tabs>
          <w:tab w:val="num" w:pos="6480"/>
        </w:tabs>
        <w:ind w:left="6480" w:hanging="360"/>
      </w:pPr>
      <w:rPr>
        <w:rFonts w:ascii="Calibri" w:hAnsi="Calibri" w:hint="default"/>
      </w:rPr>
    </w:lvl>
  </w:abstractNum>
  <w:abstractNum w:abstractNumId="29" w15:restartNumberingAfterBreak="0">
    <w:nsid w:val="69E840DE"/>
    <w:multiLevelType w:val="hybridMultilevel"/>
    <w:tmpl w:val="D2F8FA84"/>
    <w:lvl w:ilvl="0" w:tplc="32B0FFD2">
      <w:start w:val="5"/>
      <w:numFmt w:val="bullet"/>
      <w:lvlText w:val=""/>
      <w:lvlJc w:val="left"/>
      <w:pPr>
        <w:ind w:left="720" w:hanging="360"/>
      </w:pPr>
      <w:rPr>
        <w:rFonts w:ascii="Symbol" w:eastAsiaTheme="minorHAnsi" w:hAnsi="Symbol"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6AF04189"/>
    <w:multiLevelType w:val="hybridMultilevel"/>
    <w:tmpl w:val="E842CB04"/>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6D802109"/>
    <w:multiLevelType w:val="hybridMultilevel"/>
    <w:tmpl w:val="FF68F0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FDB6509"/>
    <w:multiLevelType w:val="hybridMultilevel"/>
    <w:tmpl w:val="82B49DCE"/>
    <w:lvl w:ilvl="0" w:tplc="61128868">
      <w:numFmt w:val="bullet"/>
      <w:lvlText w:val="-"/>
      <w:lvlJc w:val="left"/>
      <w:pPr>
        <w:ind w:left="720" w:hanging="360"/>
      </w:pPr>
      <w:rPr>
        <w:rFonts w:ascii="Calibri" w:eastAsiaTheme="minorHAnsi" w:hAnsi="Calibri" w:cs="Calibri"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75F059C5"/>
    <w:multiLevelType w:val="hybridMultilevel"/>
    <w:tmpl w:val="527CAF9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78510D99"/>
    <w:multiLevelType w:val="hybridMultilevel"/>
    <w:tmpl w:val="C36C8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C61643"/>
    <w:multiLevelType w:val="hybridMultilevel"/>
    <w:tmpl w:val="90FE0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7258980">
    <w:abstractNumId w:val="4"/>
  </w:num>
  <w:num w:numId="2" w16cid:durableId="1570729736">
    <w:abstractNumId w:val="8"/>
  </w:num>
  <w:num w:numId="3" w16cid:durableId="1226723419">
    <w:abstractNumId w:val="20"/>
  </w:num>
  <w:num w:numId="4" w16cid:durableId="2115634926">
    <w:abstractNumId w:val="26"/>
  </w:num>
  <w:num w:numId="5" w16cid:durableId="888346084">
    <w:abstractNumId w:val="13"/>
  </w:num>
  <w:num w:numId="6" w16cid:durableId="775490444">
    <w:abstractNumId w:val="28"/>
  </w:num>
  <w:num w:numId="7" w16cid:durableId="80951871">
    <w:abstractNumId w:val="24"/>
  </w:num>
  <w:num w:numId="8" w16cid:durableId="2018997176">
    <w:abstractNumId w:val="14"/>
  </w:num>
  <w:num w:numId="9" w16cid:durableId="496848560">
    <w:abstractNumId w:val="32"/>
  </w:num>
  <w:num w:numId="10" w16cid:durableId="969165403">
    <w:abstractNumId w:val="23"/>
  </w:num>
  <w:num w:numId="11" w16cid:durableId="551120374">
    <w:abstractNumId w:val="22"/>
  </w:num>
  <w:num w:numId="12" w16cid:durableId="1159076072">
    <w:abstractNumId w:val="18"/>
  </w:num>
  <w:num w:numId="13" w16cid:durableId="2101485633">
    <w:abstractNumId w:val="11"/>
  </w:num>
  <w:num w:numId="14" w16cid:durableId="520630775">
    <w:abstractNumId w:val="9"/>
  </w:num>
  <w:num w:numId="15" w16cid:durableId="645546900">
    <w:abstractNumId w:val="7"/>
  </w:num>
  <w:num w:numId="16" w16cid:durableId="801387359">
    <w:abstractNumId w:val="29"/>
  </w:num>
  <w:num w:numId="17" w16cid:durableId="590890947">
    <w:abstractNumId w:val="35"/>
  </w:num>
  <w:num w:numId="18" w16cid:durableId="283584800">
    <w:abstractNumId w:val="27"/>
  </w:num>
  <w:num w:numId="19" w16cid:durableId="1872449683">
    <w:abstractNumId w:val="34"/>
  </w:num>
  <w:num w:numId="20" w16cid:durableId="967974996">
    <w:abstractNumId w:val="6"/>
  </w:num>
  <w:num w:numId="21" w16cid:durableId="1614752271">
    <w:abstractNumId w:val="0"/>
  </w:num>
  <w:num w:numId="22" w16cid:durableId="781536109">
    <w:abstractNumId w:val="2"/>
  </w:num>
  <w:num w:numId="23" w16cid:durableId="1299650328">
    <w:abstractNumId w:val="10"/>
  </w:num>
  <w:num w:numId="24" w16cid:durableId="72090449">
    <w:abstractNumId w:val="12"/>
  </w:num>
  <w:num w:numId="25" w16cid:durableId="269358204">
    <w:abstractNumId w:val="30"/>
  </w:num>
  <w:num w:numId="26" w16cid:durableId="1271208070">
    <w:abstractNumId w:val="16"/>
  </w:num>
  <w:num w:numId="27" w16cid:durableId="1762943571">
    <w:abstractNumId w:val="17"/>
  </w:num>
  <w:num w:numId="28" w16cid:durableId="2102486474">
    <w:abstractNumId w:val="31"/>
  </w:num>
  <w:num w:numId="29" w16cid:durableId="968248085">
    <w:abstractNumId w:val="5"/>
  </w:num>
  <w:num w:numId="30" w16cid:durableId="468321324">
    <w:abstractNumId w:val="15"/>
  </w:num>
  <w:num w:numId="31" w16cid:durableId="1094981421">
    <w:abstractNumId w:val="33"/>
  </w:num>
  <w:num w:numId="32" w16cid:durableId="1602833741">
    <w:abstractNumId w:val="19"/>
  </w:num>
  <w:num w:numId="33" w16cid:durableId="277224134">
    <w:abstractNumId w:val="21"/>
  </w:num>
  <w:num w:numId="34" w16cid:durableId="728503228">
    <w:abstractNumId w:val="1"/>
  </w:num>
  <w:num w:numId="35" w16cid:durableId="155919093">
    <w:abstractNumId w:val="3"/>
  </w:num>
  <w:num w:numId="36" w16cid:durableId="1646816832">
    <w:abstractNumId w:val="25"/>
  </w:num>
  <w:num w:numId="37" w16cid:durableId="371346180">
    <w:abstractNumId w:val="8"/>
    <w:lvlOverride w:ilvl="0">
      <w:startOverride w:val="1"/>
    </w:lvlOverride>
  </w:num>
  <w:num w:numId="38" w16cid:durableId="900753942">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0B3"/>
    <w:rsid w:val="00040186"/>
    <w:rsid w:val="000431E4"/>
    <w:rsid w:val="0005184B"/>
    <w:rsid w:val="00053372"/>
    <w:rsid w:val="000675EC"/>
    <w:rsid w:val="00072B61"/>
    <w:rsid w:val="00075C9E"/>
    <w:rsid w:val="000C460D"/>
    <w:rsid w:val="000E7D37"/>
    <w:rsid w:val="001206E3"/>
    <w:rsid w:val="00126A61"/>
    <w:rsid w:val="00135CCB"/>
    <w:rsid w:val="00140A9D"/>
    <w:rsid w:val="00145411"/>
    <w:rsid w:val="00163E1C"/>
    <w:rsid w:val="00172934"/>
    <w:rsid w:val="00180D9D"/>
    <w:rsid w:val="0018503A"/>
    <w:rsid w:val="0019054B"/>
    <w:rsid w:val="001965C6"/>
    <w:rsid w:val="001A5BC8"/>
    <w:rsid w:val="001F27FE"/>
    <w:rsid w:val="0020177C"/>
    <w:rsid w:val="0021766F"/>
    <w:rsid w:val="00224B82"/>
    <w:rsid w:val="00231A4A"/>
    <w:rsid w:val="00237974"/>
    <w:rsid w:val="002521BE"/>
    <w:rsid w:val="00262C6D"/>
    <w:rsid w:val="00270F2C"/>
    <w:rsid w:val="00285144"/>
    <w:rsid w:val="002900D4"/>
    <w:rsid w:val="002D7CD8"/>
    <w:rsid w:val="003120ED"/>
    <w:rsid w:val="00333209"/>
    <w:rsid w:val="00341BD7"/>
    <w:rsid w:val="003523B4"/>
    <w:rsid w:val="003639F2"/>
    <w:rsid w:val="00364B33"/>
    <w:rsid w:val="003830FD"/>
    <w:rsid w:val="00385C57"/>
    <w:rsid w:val="00394B81"/>
    <w:rsid w:val="003A6509"/>
    <w:rsid w:val="003B58E0"/>
    <w:rsid w:val="003C3DA7"/>
    <w:rsid w:val="003E1526"/>
    <w:rsid w:val="003E6E8C"/>
    <w:rsid w:val="004366AB"/>
    <w:rsid w:val="00461BA5"/>
    <w:rsid w:val="00465495"/>
    <w:rsid w:val="0049224C"/>
    <w:rsid w:val="004D069B"/>
    <w:rsid w:val="004F2CD5"/>
    <w:rsid w:val="00517FE5"/>
    <w:rsid w:val="00527295"/>
    <w:rsid w:val="005328DB"/>
    <w:rsid w:val="00537081"/>
    <w:rsid w:val="0054795D"/>
    <w:rsid w:val="005610B3"/>
    <w:rsid w:val="005A07F2"/>
    <w:rsid w:val="005B23AB"/>
    <w:rsid w:val="005C5DA0"/>
    <w:rsid w:val="005D04ED"/>
    <w:rsid w:val="005D35D5"/>
    <w:rsid w:val="005D6328"/>
    <w:rsid w:val="006011E3"/>
    <w:rsid w:val="006065E0"/>
    <w:rsid w:val="00607A0D"/>
    <w:rsid w:val="00615414"/>
    <w:rsid w:val="0066094D"/>
    <w:rsid w:val="00666518"/>
    <w:rsid w:val="0067230E"/>
    <w:rsid w:val="00685AE9"/>
    <w:rsid w:val="006E2B40"/>
    <w:rsid w:val="007022B0"/>
    <w:rsid w:val="00722BE8"/>
    <w:rsid w:val="0073201D"/>
    <w:rsid w:val="00740C75"/>
    <w:rsid w:val="0076523A"/>
    <w:rsid w:val="00787653"/>
    <w:rsid w:val="007911B4"/>
    <w:rsid w:val="007A192A"/>
    <w:rsid w:val="007D7463"/>
    <w:rsid w:val="007D792B"/>
    <w:rsid w:val="00806A66"/>
    <w:rsid w:val="00814D1A"/>
    <w:rsid w:val="00816058"/>
    <w:rsid w:val="00817CAF"/>
    <w:rsid w:val="00825A9E"/>
    <w:rsid w:val="00837A2B"/>
    <w:rsid w:val="00840791"/>
    <w:rsid w:val="00846FCE"/>
    <w:rsid w:val="00895C22"/>
    <w:rsid w:val="008B5C22"/>
    <w:rsid w:val="008E268B"/>
    <w:rsid w:val="008E5E4A"/>
    <w:rsid w:val="009036F1"/>
    <w:rsid w:val="00907961"/>
    <w:rsid w:val="00964A11"/>
    <w:rsid w:val="00975422"/>
    <w:rsid w:val="00982FF7"/>
    <w:rsid w:val="0099089A"/>
    <w:rsid w:val="009D3D53"/>
    <w:rsid w:val="009E5CD6"/>
    <w:rsid w:val="00A00C2F"/>
    <w:rsid w:val="00A050B6"/>
    <w:rsid w:val="00A06DA5"/>
    <w:rsid w:val="00A212E2"/>
    <w:rsid w:val="00A23851"/>
    <w:rsid w:val="00A27717"/>
    <w:rsid w:val="00A462E1"/>
    <w:rsid w:val="00A478C9"/>
    <w:rsid w:val="00A56FFF"/>
    <w:rsid w:val="00A63EC9"/>
    <w:rsid w:val="00A65FD3"/>
    <w:rsid w:val="00A77D6E"/>
    <w:rsid w:val="00A83292"/>
    <w:rsid w:val="00A90EA8"/>
    <w:rsid w:val="00AB1E44"/>
    <w:rsid w:val="00AF0269"/>
    <w:rsid w:val="00B06CD5"/>
    <w:rsid w:val="00B11533"/>
    <w:rsid w:val="00B22418"/>
    <w:rsid w:val="00B92DF8"/>
    <w:rsid w:val="00BD4DAF"/>
    <w:rsid w:val="00BE7DE0"/>
    <w:rsid w:val="00BF005A"/>
    <w:rsid w:val="00C0777D"/>
    <w:rsid w:val="00C20BAE"/>
    <w:rsid w:val="00C23DC0"/>
    <w:rsid w:val="00C31D75"/>
    <w:rsid w:val="00C3220F"/>
    <w:rsid w:val="00C3701A"/>
    <w:rsid w:val="00C55777"/>
    <w:rsid w:val="00C620E5"/>
    <w:rsid w:val="00C73DB7"/>
    <w:rsid w:val="00C909EC"/>
    <w:rsid w:val="00C9109A"/>
    <w:rsid w:val="00C9236A"/>
    <w:rsid w:val="00C96568"/>
    <w:rsid w:val="00CA38E5"/>
    <w:rsid w:val="00CA3F94"/>
    <w:rsid w:val="00CC2FE3"/>
    <w:rsid w:val="00CD6179"/>
    <w:rsid w:val="00CE7772"/>
    <w:rsid w:val="00D16ACB"/>
    <w:rsid w:val="00D718C7"/>
    <w:rsid w:val="00D74B16"/>
    <w:rsid w:val="00D75503"/>
    <w:rsid w:val="00DA7BDF"/>
    <w:rsid w:val="00DB6119"/>
    <w:rsid w:val="00DC08E4"/>
    <w:rsid w:val="00DE6DAA"/>
    <w:rsid w:val="00E201DD"/>
    <w:rsid w:val="00E2712F"/>
    <w:rsid w:val="00E35E14"/>
    <w:rsid w:val="00E54900"/>
    <w:rsid w:val="00E964CF"/>
    <w:rsid w:val="00F10ED5"/>
    <w:rsid w:val="00F1309E"/>
    <w:rsid w:val="00F21432"/>
    <w:rsid w:val="00F26E3C"/>
    <w:rsid w:val="00F366E4"/>
    <w:rsid w:val="00F54C26"/>
    <w:rsid w:val="00F70252"/>
    <w:rsid w:val="00FA3523"/>
    <w:rsid w:val="00FB0137"/>
    <w:rsid w:val="00FB3F5E"/>
    <w:rsid w:val="00FF236F"/>
    <w:rsid w:val="00FF5FC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B730C1"/>
  <w15:chartTrackingRefBased/>
  <w15:docId w15:val="{F21CD827-FA57-4711-9A2C-886385FD9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01A"/>
    <w:pPr>
      <w:spacing w:before="120" w:after="280"/>
    </w:pPr>
    <w:rPr>
      <w:sz w:val="24"/>
    </w:rPr>
  </w:style>
  <w:style w:type="paragraph" w:styleId="Heading1">
    <w:name w:val="heading 1"/>
    <w:basedOn w:val="Normal"/>
    <w:next w:val="Normal"/>
    <w:link w:val="Heading1Char"/>
    <w:uiPriority w:val="9"/>
    <w:qFormat/>
    <w:rsid w:val="000C460D"/>
    <w:pPr>
      <w:keepNext/>
      <w:keepLines/>
      <w:spacing w:before="400" w:after="120"/>
      <w:outlineLvl w:val="0"/>
    </w:pPr>
    <w:rPr>
      <w:rFonts w:eastAsiaTheme="majorEastAsia" w:cstheme="majorBidi"/>
      <w:b/>
      <w:sz w:val="32"/>
      <w:szCs w:val="32"/>
    </w:rPr>
  </w:style>
  <w:style w:type="paragraph" w:styleId="Heading2">
    <w:name w:val="heading 2"/>
    <w:basedOn w:val="Normal"/>
    <w:next w:val="Normal"/>
    <w:link w:val="Heading2Char"/>
    <w:autoRedefine/>
    <w:uiPriority w:val="9"/>
    <w:unhideWhenUsed/>
    <w:qFormat/>
    <w:rsid w:val="00B11533"/>
    <w:pPr>
      <w:keepNext/>
      <w:keepLines/>
      <w:spacing w:before="360" w:after="120"/>
      <w:outlineLvl w:val="1"/>
    </w:pPr>
    <w:rPr>
      <w:rFonts w:eastAsia="Aptos" w:cstheme="majorBidi"/>
      <w:b/>
      <w:color w:val="000000" w:themeColor="text1"/>
      <w:sz w:val="28"/>
      <w:szCs w:val="26"/>
      <w:lang w:val="en-AU"/>
    </w:rPr>
  </w:style>
  <w:style w:type="paragraph" w:styleId="Heading5">
    <w:name w:val="heading 5"/>
    <w:basedOn w:val="Normal"/>
    <w:next w:val="Normal"/>
    <w:link w:val="Heading5Char"/>
    <w:uiPriority w:val="9"/>
    <w:semiHidden/>
    <w:unhideWhenUsed/>
    <w:qFormat/>
    <w:rsid w:val="00A65FD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610B3"/>
    <w:pPr>
      <w:ind w:left="720"/>
      <w:contextualSpacing/>
    </w:pPr>
  </w:style>
  <w:style w:type="paragraph" w:styleId="Title">
    <w:name w:val="Title"/>
    <w:basedOn w:val="Normal"/>
    <w:next w:val="Normal"/>
    <w:link w:val="TitleChar"/>
    <w:uiPriority w:val="10"/>
    <w:qFormat/>
    <w:rsid w:val="00F54C26"/>
    <w:pPr>
      <w:spacing w:before="0" w:after="0" w:line="240" w:lineRule="auto"/>
      <w:contextualSpacing/>
    </w:pPr>
    <w:rPr>
      <w:rFonts w:ascii="Calibri Light" w:eastAsiaTheme="majorEastAsia" w:hAnsi="Calibri Light" w:cstheme="majorBidi"/>
      <w:spacing w:val="14"/>
      <w:kern w:val="28"/>
      <w:sz w:val="56"/>
      <w:szCs w:val="56"/>
    </w:rPr>
  </w:style>
  <w:style w:type="character" w:customStyle="1" w:styleId="TitleChar">
    <w:name w:val="Title Char"/>
    <w:basedOn w:val="DefaultParagraphFont"/>
    <w:link w:val="Title"/>
    <w:uiPriority w:val="10"/>
    <w:rsid w:val="00F54C26"/>
    <w:rPr>
      <w:rFonts w:ascii="Calibri Light" w:eastAsiaTheme="majorEastAsia" w:hAnsi="Calibri Light" w:cstheme="majorBidi"/>
      <w:spacing w:val="14"/>
      <w:kern w:val="28"/>
      <w:sz w:val="56"/>
      <w:szCs w:val="56"/>
    </w:rPr>
  </w:style>
  <w:style w:type="character" w:customStyle="1" w:styleId="Heading1Char">
    <w:name w:val="Heading 1 Char"/>
    <w:basedOn w:val="DefaultParagraphFont"/>
    <w:link w:val="Heading1"/>
    <w:uiPriority w:val="9"/>
    <w:rsid w:val="000C460D"/>
    <w:rPr>
      <w:rFonts w:eastAsiaTheme="majorEastAsia" w:cstheme="majorBidi"/>
      <w:b/>
      <w:sz w:val="32"/>
      <w:szCs w:val="32"/>
    </w:rPr>
  </w:style>
  <w:style w:type="paragraph" w:customStyle="1" w:styleId="ListBulleted">
    <w:name w:val="List Bulleted"/>
    <w:basedOn w:val="ListParagraph"/>
    <w:link w:val="ListBulletedChar"/>
    <w:qFormat/>
    <w:rsid w:val="004D069B"/>
    <w:pPr>
      <w:numPr>
        <w:numId w:val="15"/>
      </w:numPr>
      <w:spacing w:before="0" w:after="160"/>
      <w:ind w:left="357" w:hanging="357"/>
      <w:contextualSpacing w:val="0"/>
    </w:pPr>
    <w:rPr>
      <w:szCs w:val="24"/>
      <w:lang w:val="en-AU"/>
    </w:rPr>
  </w:style>
  <w:style w:type="character" w:customStyle="1" w:styleId="ListParagraphChar">
    <w:name w:val="List Paragraph Char"/>
    <w:basedOn w:val="DefaultParagraphFont"/>
    <w:link w:val="ListParagraph"/>
    <w:uiPriority w:val="34"/>
    <w:rsid w:val="00341BD7"/>
  </w:style>
  <w:style w:type="character" w:customStyle="1" w:styleId="ListBulletedChar">
    <w:name w:val="List Bulleted Char"/>
    <w:basedOn w:val="ListParagraphChar"/>
    <w:link w:val="ListBulleted"/>
    <w:rsid w:val="004D069B"/>
    <w:rPr>
      <w:sz w:val="24"/>
      <w:szCs w:val="24"/>
      <w:lang w:val="en-AU"/>
    </w:rPr>
  </w:style>
  <w:style w:type="paragraph" w:styleId="Header">
    <w:name w:val="header"/>
    <w:basedOn w:val="Normal"/>
    <w:link w:val="HeaderChar"/>
    <w:uiPriority w:val="99"/>
    <w:unhideWhenUsed/>
    <w:rsid w:val="00341B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1BD7"/>
  </w:style>
  <w:style w:type="paragraph" w:styleId="Footer">
    <w:name w:val="footer"/>
    <w:basedOn w:val="Normal"/>
    <w:link w:val="FooterChar"/>
    <w:uiPriority w:val="99"/>
    <w:unhideWhenUsed/>
    <w:rsid w:val="00341B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1BD7"/>
  </w:style>
  <w:style w:type="character" w:styleId="Hyperlink">
    <w:name w:val="Hyperlink"/>
    <w:basedOn w:val="DefaultParagraphFont"/>
    <w:uiPriority w:val="99"/>
    <w:unhideWhenUsed/>
    <w:rsid w:val="00D16ACB"/>
    <w:rPr>
      <w:color w:val="0563C1" w:themeColor="hyperlink"/>
      <w:u w:val="single"/>
    </w:rPr>
  </w:style>
  <w:style w:type="character" w:styleId="UnresolvedMention">
    <w:name w:val="Unresolved Mention"/>
    <w:basedOn w:val="DefaultParagraphFont"/>
    <w:uiPriority w:val="99"/>
    <w:semiHidden/>
    <w:unhideWhenUsed/>
    <w:rsid w:val="00D16ACB"/>
    <w:rPr>
      <w:color w:val="605E5C"/>
      <w:shd w:val="clear" w:color="auto" w:fill="E1DFDD"/>
    </w:rPr>
  </w:style>
  <w:style w:type="paragraph" w:customStyle="1" w:styleId="ListNumbered">
    <w:name w:val="List Numbered"/>
    <w:basedOn w:val="ListParagraph"/>
    <w:link w:val="ListNumberedChar"/>
    <w:qFormat/>
    <w:rsid w:val="003523B4"/>
    <w:pPr>
      <w:numPr>
        <w:numId w:val="2"/>
      </w:numPr>
    </w:pPr>
    <w:rPr>
      <w:szCs w:val="24"/>
      <w:lang w:val="en-AU"/>
    </w:rPr>
  </w:style>
  <w:style w:type="character" w:customStyle="1" w:styleId="ListNumberedChar">
    <w:name w:val="List Numbered Char"/>
    <w:basedOn w:val="ListParagraphChar"/>
    <w:link w:val="ListNumbered"/>
    <w:rsid w:val="003523B4"/>
    <w:rPr>
      <w:sz w:val="24"/>
      <w:szCs w:val="24"/>
      <w:lang w:val="en-AU"/>
    </w:rPr>
  </w:style>
  <w:style w:type="paragraph" w:styleId="Subtitle">
    <w:name w:val="Subtitle"/>
    <w:basedOn w:val="Normal"/>
    <w:next w:val="Normal"/>
    <w:link w:val="SubtitleChar"/>
    <w:autoRedefine/>
    <w:uiPriority w:val="11"/>
    <w:qFormat/>
    <w:rsid w:val="008E268B"/>
    <w:pPr>
      <w:numPr>
        <w:ilvl w:val="1"/>
      </w:numPr>
    </w:pPr>
    <w:rPr>
      <w:rFonts w:eastAsiaTheme="minorEastAsia"/>
      <w:color w:val="000000" w:themeColor="text1"/>
      <w:sz w:val="32"/>
      <w:bdr w:val="none" w:sz="0" w:space="0" w:color="auto" w:frame="1"/>
      <w:lang w:eastAsia="en-NZ"/>
    </w:rPr>
  </w:style>
  <w:style w:type="character" w:customStyle="1" w:styleId="SubtitleChar">
    <w:name w:val="Subtitle Char"/>
    <w:basedOn w:val="DefaultParagraphFont"/>
    <w:link w:val="Subtitle"/>
    <w:uiPriority w:val="11"/>
    <w:rsid w:val="008E268B"/>
    <w:rPr>
      <w:rFonts w:eastAsiaTheme="minorEastAsia"/>
      <w:color w:val="000000" w:themeColor="text1"/>
      <w:sz w:val="32"/>
      <w:bdr w:val="none" w:sz="0" w:space="0" w:color="auto" w:frame="1"/>
      <w:lang w:eastAsia="en-NZ"/>
    </w:rPr>
  </w:style>
  <w:style w:type="character" w:customStyle="1" w:styleId="Heading5Char">
    <w:name w:val="Heading 5 Char"/>
    <w:basedOn w:val="DefaultParagraphFont"/>
    <w:link w:val="Heading5"/>
    <w:uiPriority w:val="9"/>
    <w:semiHidden/>
    <w:rsid w:val="00A65FD3"/>
    <w:rPr>
      <w:rFonts w:asciiTheme="majorHAnsi" w:eastAsiaTheme="majorEastAsia" w:hAnsiTheme="majorHAnsi" w:cstheme="majorBidi"/>
      <w:color w:val="2F5496" w:themeColor="accent1" w:themeShade="BF"/>
    </w:rPr>
  </w:style>
  <w:style w:type="paragraph" w:styleId="BodyText">
    <w:name w:val="Body Text"/>
    <w:basedOn w:val="Normal"/>
    <w:link w:val="BodyTextChar"/>
    <w:uiPriority w:val="99"/>
    <w:unhideWhenUsed/>
    <w:rsid w:val="00A65FD3"/>
    <w:pPr>
      <w:spacing w:after="0" w:line="240" w:lineRule="auto"/>
    </w:pPr>
    <w:rPr>
      <w:sz w:val="28"/>
      <w:szCs w:val="28"/>
    </w:rPr>
  </w:style>
  <w:style w:type="character" w:customStyle="1" w:styleId="BodyTextChar">
    <w:name w:val="Body Text Char"/>
    <w:basedOn w:val="DefaultParagraphFont"/>
    <w:link w:val="BodyText"/>
    <w:uiPriority w:val="99"/>
    <w:rsid w:val="00A65FD3"/>
    <w:rPr>
      <w:sz w:val="28"/>
      <w:szCs w:val="28"/>
    </w:rPr>
  </w:style>
  <w:style w:type="character" w:customStyle="1" w:styleId="Heading2Char">
    <w:name w:val="Heading 2 Char"/>
    <w:basedOn w:val="DefaultParagraphFont"/>
    <w:link w:val="Heading2"/>
    <w:uiPriority w:val="9"/>
    <w:rsid w:val="00B11533"/>
    <w:rPr>
      <w:rFonts w:eastAsia="Aptos" w:cstheme="majorBidi"/>
      <w:b/>
      <w:color w:val="000000" w:themeColor="text1"/>
      <w:sz w:val="28"/>
      <w:szCs w:val="26"/>
      <w:lang w:val="en-AU"/>
    </w:rPr>
  </w:style>
  <w:style w:type="table" w:styleId="TableGrid">
    <w:name w:val="Table Grid"/>
    <w:basedOn w:val="TableNormal"/>
    <w:uiPriority w:val="39"/>
    <w:rsid w:val="00385C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98189">
      <w:bodyDiv w:val="1"/>
      <w:marLeft w:val="0"/>
      <w:marRight w:val="0"/>
      <w:marTop w:val="0"/>
      <w:marBottom w:val="0"/>
      <w:divBdr>
        <w:top w:val="none" w:sz="0" w:space="0" w:color="auto"/>
        <w:left w:val="none" w:sz="0" w:space="0" w:color="auto"/>
        <w:bottom w:val="none" w:sz="0" w:space="0" w:color="auto"/>
        <w:right w:val="none" w:sz="0" w:space="0" w:color="auto"/>
      </w:divBdr>
      <w:divsChild>
        <w:div w:id="2143959761">
          <w:marLeft w:val="144"/>
          <w:marRight w:val="0"/>
          <w:marTop w:val="240"/>
          <w:marBottom w:val="40"/>
          <w:divBdr>
            <w:top w:val="none" w:sz="0" w:space="0" w:color="auto"/>
            <w:left w:val="none" w:sz="0" w:space="0" w:color="auto"/>
            <w:bottom w:val="none" w:sz="0" w:space="0" w:color="auto"/>
            <w:right w:val="none" w:sz="0" w:space="0" w:color="auto"/>
          </w:divBdr>
        </w:div>
        <w:div w:id="1357004320">
          <w:marLeft w:val="144"/>
          <w:marRight w:val="0"/>
          <w:marTop w:val="240"/>
          <w:marBottom w:val="40"/>
          <w:divBdr>
            <w:top w:val="none" w:sz="0" w:space="0" w:color="auto"/>
            <w:left w:val="none" w:sz="0" w:space="0" w:color="auto"/>
            <w:bottom w:val="none" w:sz="0" w:space="0" w:color="auto"/>
            <w:right w:val="none" w:sz="0" w:space="0" w:color="auto"/>
          </w:divBdr>
        </w:div>
        <w:div w:id="951672789">
          <w:marLeft w:val="144"/>
          <w:marRight w:val="0"/>
          <w:marTop w:val="240"/>
          <w:marBottom w:val="40"/>
          <w:divBdr>
            <w:top w:val="none" w:sz="0" w:space="0" w:color="auto"/>
            <w:left w:val="none" w:sz="0" w:space="0" w:color="auto"/>
            <w:bottom w:val="none" w:sz="0" w:space="0" w:color="auto"/>
            <w:right w:val="none" w:sz="0" w:space="0" w:color="auto"/>
          </w:divBdr>
        </w:div>
        <w:div w:id="71902865">
          <w:marLeft w:val="144"/>
          <w:marRight w:val="0"/>
          <w:marTop w:val="240"/>
          <w:marBottom w:val="40"/>
          <w:divBdr>
            <w:top w:val="none" w:sz="0" w:space="0" w:color="auto"/>
            <w:left w:val="none" w:sz="0" w:space="0" w:color="auto"/>
            <w:bottom w:val="none" w:sz="0" w:space="0" w:color="auto"/>
            <w:right w:val="none" w:sz="0" w:space="0" w:color="auto"/>
          </w:divBdr>
        </w:div>
        <w:div w:id="957369534">
          <w:marLeft w:val="144"/>
          <w:marRight w:val="0"/>
          <w:marTop w:val="240"/>
          <w:marBottom w:val="40"/>
          <w:divBdr>
            <w:top w:val="none" w:sz="0" w:space="0" w:color="auto"/>
            <w:left w:val="none" w:sz="0" w:space="0" w:color="auto"/>
            <w:bottom w:val="none" w:sz="0" w:space="0" w:color="auto"/>
            <w:right w:val="none" w:sz="0" w:space="0" w:color="auto"/>
          </w:divBdr>
        </w:div>
        <w:div w:id="1914661164">
          <w:marLeft w:val="144"/>
          <w:marRight w:val="0"/>
          <w:marTop w:val="240"/>
          <w:marBottom w:val="40"/>
          <w:divBdr>
            <w:top w:val="none" w:sz="0" w:space="0" w:color="auto"/>
            <w:left w:val="none" w:sz="0" w:space="0" w:color="auto"/>
            <w:bottom w:val="none" w:sz="0" w:space="0" w:color="auto"/>
            <w:right w:val="none" w:sz="0" w:space="0" w:color="auto"/>
          </w:divBdr>
        </w:div>
        <w:div w:id="1264998206">
          <w:marLeft w:val="144"/>
          <w:marRight w:val="0"/>
          <w:marTop w:val="240"/>
          <w:marBottom w:val="40"/>
          <w:divBdr>
            <w:top w:val="none" w:sz="0" w:space="0" w:color="auto"/>
            <w:left w:val="none" w:sz="0" w:space="0" w:color="auto"/>
            <w:bottom w:val="none" w:sz="0" w:space="0" w:color="auto"/>
            <w:right w:val="none" w:sz="0" w:space="0" w:color="auto"/>
          </w:divBdr>
        </w:div>
      </w:divsChild>
    </w:div>
    <w:div w:id="473452203">
      <w:bodyDiv w:val="1"/>
      <w:marLeft w:val="0"/>
      <w:marRight w:val="0"/>
      <w:marTop w:val="0"/>
      <w:marBottom w:val="0"/>
      <w:divBdr>
        <w:top w:val="none" w:sz="0" w:space="0" w:color="auto"/>
        <w:left w:val="none" w:sz="0" w:space="0" w:color="auto"/>
        <w:bottom w:val="none" w:sz="0" w:space="0" w:color="auto"/>
        <w:right w:val="none" w:sz="0" w:space="0" w:color="auto"/>
      </w:divBdr>
      <w:divsChild>
        <w:div w:id="1609388538">
          <w:marLeft w:val="144"/>
          <w:marRight w:val="0"/>
          <w:marTop w:val="240"/>
          <w:marBottom w:val="40"/>
          <w:divBdr>
            <w:top w:val="none" w:sz="0" w:space="0" w:color="auto"/>
            <w:left w:val="none" w:sz="0" w:space="0" w:color="auto"/>
            <w:bottom w:val="none" w:sz="0" w:space="0" w:color="auto"/>
            <w:right w:val="none" w:sz="0" w:space="0" w:color="auto"/>
          </w:divBdr>
        </w:div>
        <w:div w:id="1728147523">
          <w:marLeft w:val="144"/>
          <w:marRight w:val="0"/>
          <w:marTop w:val="240"/>
          <w:marBottom w:val="40"/>
          <w:divBdr>
            <w:top w:val="none" w:sz="0" w:space="0" w:color="auto"/>
            <w:left w:val="none" w:sz="0" w:space="0" w:color="auto"/>
            <w:bottom w:val="none" w:sz="0" w:space="0" w:color="auto"/>
            <w:right w:val="none" w:sz="0" w:space="0" w:color="auto"/>
          </w:divBdr>
        </w:div>
        <w:div w:id="287706150">
          <w:marLeft w:val="605"/>
          <w:marRight w:val="0"/>
          <w:marTop w:val="40"/>
          <w:marBottom w:val="80"/>
          <w:divBdr>
            <w:top w:val="none" w:sz="0" w:space="0" w:color="auto"/>
            <w:left w:val="none" w:sz="0" w:space="0" w:color="auto"/>
            <w:bottom w:val="none" w:sz="0" w:space="0" w:color="auto"/>
            <w:right w:val="none" w:sz="0" w:space="0" w:color="auto"/>
          </w:divBdr>
        </w:div>
        <w:div w:id="1856767061">
          <w:marLeft w:val="605"/>
          <w:marRight w:val="0"/>
          <w:marTop w:val="40"/>
          <w:marBottom w:val="80"/>
          <w:divBdr>
            <w:top w:val="none" w:sz="0" w:space="0" w:color="auto"/>
            <w:left w:val="none" w:sz="0" w:space="0" w:color="auto"/>
            <w:bottom w:val="none" w:sz="0" w:space="0" w:color="auto"/>
            <w:right w:val="none" w:sz="0" w:space="0" w:color="auto"/>
          </w:divBdr>
        </w:div>
        <w:div w:id="615480433">
          <w:marLeft w:val="605"/>
          <w:marRight w:val="0"/>
          <w:marTop w:val="40"/>
          <w:marBottom w:val="80"/>
          <w:divBdr>
            <w:top w:val="none" w:sz="0" w:space="0" w:color="auto"/>
            <w:left w:val="none" w:sz="0" w:space="0" w:color="auto"/>
            <w:bottom w:val="none" w:sz="0" w:space="0" w:color="auto"/>
            <w:right w:val="none" w:sz="0" w:space="0" w:color="auto"/>
          </w:divBdr>
        </w:div>
      </w:divsChild>
    </w:div>
    <w:div w:id="1551647669">
      <w:bodyDiv w:val="1"/>
      <w:marLeft w:val="0"/>
      <w:marRight w:val="0"/>
      <w:marTop w:val="0"/>
      <w:marBottom w:val="0"/>
      <w:divBdr>
        <w:top w:val="none" w:sz="0" w:space="0" w:color="auto"/>
        <w:left w:val="none" w:sz="0" w:space="0" w:color="auto"/>
        <w:bottom w:val="none" w:sz="0" w:space="0" w:color="auto"/>
        <w:right w:val="none" w:sz="0" w:space="0" w:color="auto"/>
      </w:divBdr>
    </w:div>
    <w:div w:id="1696033937">
      <w:bodyDiv w:val="1"/>
      <w:marLeft w:val="0"/>
      <w:marRight w:val="0"/>
      <w:marTop w:val="0"/>
      <w:marBottom w:val="0"/>
      <w:divBdr>
        <w:top w:val="none" w:sz="0" w:space="0" w:color="auto"/>
        <w:left w:val="none" w:sz="0" w:space="0" w:color="auto"/>
        <w:bottom w:val="none" w:sz="0" w:space="0" w:color="auto"/>
        <w:right w:val="none" w:sz="0" w:space="0" w:color="auto"/>
      </w:divBdr>
    </w:div>
    <w:div w:id="1811167165">
      <w:bodyDiv w:val="1"/>
      <w:marLeft w:val="0"/>
      <w:marRight w:val="0"/>
      <w:marTop w:val="0"/>
      <w:marBottom w:val="0"/>
      <w:divBdr>
        <w:top w:val="none" w:sz="0" w:space="0" w:color="auto"/>
        <w:left w:val="none" w:sz="0" w:space="0" w:color="auto"/>
        <w:bottom w:val="none" w:sz="0" w:space="0" w:color="auto"/>
        <w:right w:val="none" w:sz="0" w:space="0" w:color="auto"/>
      </w:divBdr>
      <w:divsChild>
        <w:div w:id="1459912135">
          <w:marLeft w:val="144"/>
          <w:marRight w:val="0"/>
          <w:marTop w:val="240"/>
          <w:marBottom w:val="40"/>
          <w:divBdr>
            <w:top w:val="none" w:sz="0" w:space="0" w:color="auto"/>
            <w:left w:val="none" w:sz="0" w:space="0" w:color="auto"/>
            <w:bottom w:val="none" w:sz="0" w:space="0" w:color="auto"/>
            <w:right w:val="none" w:sz="0" w:space="0" w:color="auto"/>
          </w:divBdr>
        </w:div>
        <w:div w:id="1663895914">
          <w:marLeft w:val="144"/>
          <w:marRight w:val="0"/>
          <w:marTop w:val="240"/>
          <w:marBottom w:val="40"/>
          <w:divBdr>
            <w:top w:val="none" w:sz="0" w:space="0" w:color="auto"/>
            <w:left w:val="none" w:sz="0" w:space="0" w:color="auto"/>
            <w:bottom w:val="none" w:sz="0" w:space="0" w:color="auto"/>
            <w:right w:val="none" w:sz="0" w:space="0" w:color="auto"/>
          </w:divBdr>
        </w:div>
        <w:div w:id="1326281329">
          <w:marLeft w:val="144"/>
          <w:marRight w:val="0"/>
          <w:marTop w:val="240"/>
          <w:marBottom w:val="40"/>
          <w:divBdr>
            <w:top w:val="none" w:sz="0" w:space="0" w:color="auto"/>
            <w:left w:val="none" w:sz="0" w:space="0" w:color="auto"/>
            <w:bottom w:val="none" w:sz="0" w:space="0" w:color="auto"/>
            <w:right w:val="none" w:sz="0" w:space="0" w:color="auto"/>
          </w:divBdr>
        </w:div>
        <w:div w:id="1419324931">
          <w:marLeft w:val="144"/>
          <w:marRight w:val="0"/>
          <w:marTop w:val="240"/>
          <w:marBottom w:val="40"/>
          <w:divBdr>
            <w:top w:val="none" w:sz="0" w:space="0" w:color="auto"/>
            <w:left w:val="none" w:sz="0" w:space="0" w:color="auto"/>
            <w:bottom w:val="none" w:sz="0" w:space="0" w:color="auto"/>
            <w:right w:val="none" w:sz="0" w:space="0" w:color="auto"/>
          </w:divBdr>
        </w:div>
        <w:div w:id="1809474576">
          <w:marLeft w:val="144"/>
          <w:marRight w:val="0"/>
          <w:marTop w:val="240"/>
          <w:marBottom w:val="40"/>
          <w:divBdr>
            <w:top w:val="none" w:sz="0" w:space="0" w:color="auto"/>
            <w:left w:val="none" w:sz="0" w:space="0" w:color="auto"/>
            <w:bottom w:val="none" w:sz="0" w:space="0" w:color="auto"/>
            <w:right w:val="none" w:sz="0" w:space="0" w:color="auto"/>
          </w:divBdr>
        </w:div>
        <w:div w:id="859976537">
          <w:marLeft w:val="144"/>
          <w:marRight w:val="0"/>
          <w:marTop w:val="240"/>
          <w:marBottom w:val="40"/>
          <w:divBdr>
            <w:top w:val="none" w:sz="0" w:space="0" w:color="auto"/>
            <w:left w:val="none" w:sz="0" w:space="0" w:color="auto"/>
            <w:bottom w:val="none" w:sz="0" w:space="0" w:color="auto"/>
            <w:right w:val="none" w:sz="0" w:space="0" w:color="auto"/>
          </w:divBdr>
        </w:div>
      </w:divsChild>
    </w:div>
    <w:div w:id="1970353533">
      <w:bodyDiv w:val="1"/>
      <w:marLeft w:val="0"/>
      <w:marRight w:val="0"/>
      <w:marTop w:val="0"/>
      <w:marBottom w:val="0"/>
      <w:divBdr>
        <w:top w:val="none" w:sz="0" w:space="0" w:color="auto"/>
        <w:left w:val="none" w:sz="0" w:space="0" w:color="auto"/>
        <w:bottom w:val="none" w:sz="0" w:space="0" w:color="auto"/>
        <w:right w:val="none" w:sz="0" w:space="0" w:color="auto"/>
      </w:divBdr>
      <w:divsChild>
        <w:div w:id="2105757577">
          <w:marLeft w:val="144"/>
          <w:marRight w:val="0"/>
          <w:marTop w:val="240"/>
          <w:marBottom w:val="40"/>
          <w:divBdr>
            <w:top w:val="none" w:sz="0" w:space="0" w:color="auto"/>
            <w:left w:val="none" w:sz="0" w:space="0" w:color="auto"/>
            <w:bottom w:val="none" w:sz="0" w:space="0" w:color="auto"/>
            <w:right w:val="none" w:sz="0" w:space="0" w:color="auto"/>
          </w:divBdr>
        </w:div>
        <w:div w:id="1970545367">
          <w:marLeft w:val="144"/>
          <w:marRight w:val="0"/>
          <w:marTop w:val="240"/>
          <w:marBottom w:val="40"/>
          <w:divBdr>
            <w:top w:val="none" w:sz="0" w:space="0" w:color="auto"/>
            <w:left w:val="none" w:sz="0" w:space="0" w:color="auto"/>
            <w:bottom w:val="none" w:sz="0" w:space="0" w:color="auto"/>
            <w:right w:val="none" w:sz="0" w:space="0" w:color="auto"/>
          </w:divBdr>
        </w:div>
        <w:div w:id="1727679875">
          <w:marLeft w:val="144"/>
          <w:marRight w:val="0"/>
          <w:marTop w:val="240"/>
          <w:marBottom w:val="40"/>
          <w:divBdr>
            <w:top w:val="none" w:sz="0" w:space="0" w:color="auto"/>
            <w:left w:val="none" w:sz="0" w:space="0" w:color="auto"/>
            <w:bottom w:val="none" w:sz="0" w:space="0" w:color="auto"/>
            <w:right w:val="none" w:sz="0" w:space="0" w:color="auto"/>
          </w:divBdr>
        </w:div>
        <w:div w:id="1069496873">
          <w:marLeft w:val="144"/>
          <w:marRight w:val="0"/>
          <w:marTop w:val="240"/>
          <w:marBottom w:val="40"/>
          <w:divBdr>
            <w:top w:val="none" w:sz="0" w:space="0" w:color="auto"/>
            <w:left w:val="none" w:sz="0" w:space="0" w:color="auto"/>
            <w:bottom w:val="none" w:sz="0" w:space="0" w:color="auto"/>
            <w:right w:val="none" w:sz="0" w:space="0" w:color="auto"/>
          </w:divBdr>
        </w:div>
        <w:div w:id="667439930">
          <w:marLeft w:val="144"/>
          <w:marRight w:val="0"/>
          <w:marTop w:val="2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t.nz/act/public/2006/0018/latest/whole.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3" Type="http://schemas.openxmlformats.org/officeDocument/2006/relationships/hyperlink" Target="https://sms:%2064%2027%20457%205140/" TargetMode="External"/><Relationship Id="rId2" Type="http://schemas.openxmlformats.org/officeDocument/2006/relationships/hyperlink" Target="http://www.aotearoadisablitylaw.org.nz" TargetMode="External"/><Relationship Id="rId1" Type="http://schemas.openxmlformats.org/officeDocument/2006/relationships/image" Target="media/image2.png"/><Relationship Id="rId4" Type="http://schemas.openxmlformats.org/officeDocument/2006/relationships/hyperlink" Target="mailto:info@adl.org.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2517B3-30A9-4558-81B9-7295D5290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5</Pages>
  <Words>1552</Words>
  <Characters>8847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Johnston</dc:creator>
  <cp:keywords/>
  <dc:description/>
  <cp:lastModifiedBy>Catherine Watson</cp:lastModifiedBy>
  <cp:revision>4</cp:revision>
  <cp:lastPrinted>2025-09-20T01:26:00Z</cp:lastPrinted>
  <dcterms:created xsi:type="dcterms:W3CDTF">2025-09-20T00:28:00Z</dcterms:created>
  <dcterms:modified xsi:type="dcterms:W3CDTF">2025-09-20T01:30:00Z</dcterms:modified>
</cp:coreProperties>
</file>